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left="0" w:leftChars="0" w:firstLine="880" w:firstLineChars="200"/>
        <w:jc w:val="center"/>
        <w:rPr>
          <w:rFonts w:hint="default" w:ascii="方正小标宋简体" w:hAnsi="宋体" w:eastAsia="方正小标宋简体" w:cs="宋体"/>
          <w:color w:val="auto"/>
          <w:sz w:val="44"/>
          <w:szCs w:val="44"/>
          <w:shd w:val="clear" w:color="auto" w:fill="FFFFFF"/>
          <w:lang w:val="en-US" w:eastAsia="zh-CN"/>
        </w:rPr>
      </w:pPr>
      <w:r>
        <w:rPr>
          <w:rFonts w:hint="eastAsia" w:ascii="方正小标宋简体" w:hAnsi="宋体" w:eastAsia="方正小标宋简体" w:cs="宋体"/>
          <w:color w:val="auto"/>
          <w:sz w:val="44"/>
          <w:szCs w:val="44"/>
          <w:shd w:val="clear" w:color="auto" w:fill="FFFFFF"/>
          <w:lang w:val="en-US" w:eastAsia="zh-CN"/>
        </w:rPr>
        <w:t>遂宁市经济和信息化局</w:t>
      </w:r>
    </w:p>
    <w:p>
      <w:pPr>
        <w:pageBreakBefore w:val="0"/>
        <w:kinsoku/>
        <w:wordWrap/>
        <w:overflowPunct/>
        <w:topLinePunct w:val="0"/>
        <w:autoSpaceDE/>
        <w:autoSpaceDN/>
        <w:bidi w:val="0"/>
        <w:adjustRightInd/>
        <w:snapToGrid/>
        <w:spacing w:line="560" w:lineRule="exact"/>
        <w:ind w:left="0" w:leftChars="0" w:firstLine="880" w:firstLineChars="200"/>
        <w:jc w:val="center"/>
        <w:rPr>
          <w:rFonts w:hint="eastAsia" w:ascii="方正小标宋简体" w:hAnsi="宋体" w:eastAsia="方正小标宋简体" w:cs="宋体"/>
          <w:color w:val="auto"/>
          <w:sz w:val="44"/>
          <w:szCs w:val="44"/>
          <w:shd w:val="clear" w:color="auto" w:fill="FFFFFF"/>
        </w:rPr>
      </w:pPr>
      <w:r>
        <w:rPr>
          <w:rFonts w:hint="eastAsia" w:ascii="方正小标宋简体" w:hAnsi="宋体" w:eastAsia="方正小标宋简体" w:cs="宋体"/>
          <w:color w:val="auto"/>
          <w:sz w:val="44"/>
          <w:szCs w:val="44"/>
          <w:shd w:val="clear" w:color="auto" w:fill="FFFFFF"/>
          <w:lang w:eastAsia="zh-CN"/>
        </w:rPr>
        <w:t>部门</w:t>
      </w:r>
      <w:r>
        <w:rPr>
          <w:rFonts w:hint="eastAsia" w:ascii="方正小标宋简体" w:hAnsi="宋体" w:eastAsia="方正小标宋简体" w:cs="宋体"/>
          <w:color w:val="auto"/>
          <w:sz w:val="44"/>
          <w:szCs w:val="44"/>
          <w:shd w:val="clear" w:color="auto" w:fill="FFFFFF"/>
        </w:rPr>
        <w:t>整体支出绩效自评报告</w:t>
      </w:r>
    </w:p>
    <w:p>
      <w:pPr>
        <w:pStyle w:val="2"/>
        <w:pageBreakBefore w:val="0"/>
        <w:kinsoku/>
        <w:wordWrap/>
        <w:overflowPunct/>
        <w:topLinePunct w:val="0"/>
        <w:autoSpaceDE/>
        <w:autoSpaceDN/>
        <w:bidi w:val="0"/>
        <w:adjustRightInd/>
        <w:snapToGrid/>
        <w:spacing w:line="560" w:lineRule="exact"/>
        <w:ind w:left="0" w:leftChars="0" w:firstLine="640" w:firstLineChars="200"/>
        <w:rPr>
          <w:color w:val="auto"/>
        </w:rPr>
      </w:pP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市财政局：</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rPr>
        <w:t>根据</w:t>
      </w:r>
      <w:r>
        <w:rPr>
          <w:rFonts w:hint="eastAsia" w:ascii="仿宋_GB2312" w:hAnsi="仿宋_GB2312" w:cs="仿宋_GB2312"/>
          <w:color w:val="auto"/>
          <w:kern w:val="0"/>
          <w:sz w:val="32"/>
          <w:szCs w:val="32"/>
          <w:shd w:val="clear" w:color="auto" w:fill="FFFFFF"/>
          <w:lang w:eastAsia="zh-CN"/>
        </w:rPr>
        <w:t>《遂宁</w:t>
      </w:r>
      <w:r>
        <w:rPr>
          <w:rFonts w:hint="eastAsia" w:ascii="仿宋_GB2312" w:hAnsi="仿宋_GB2312" w:eastAsia="仿宋_GB2312" w:cs="仿宋_GB2312"/>
          <w:color w:val="auto"/>
          <w:kern w:val="0"/>
          <w:sz w:val="32"/>
          <w:szCs w:val="32"/>
          <w:shd w:val="clear" w:color="auto" w:fill="FFFFFF"/>
        </w:rPr>
        <w:t>市财政局关于开展2023年部门、项目、政策支出绩效自评工作的通知》（遂财绩〔2023〕2号）的精神，</w:t>
      </w:r>
      <w:r>
        <w:rPr>
          <w:rFonts w:hint="eastAsia" w:ascii="仿宋_GB2312" w:hAnsi="仿宋_GB2312" w:cs="仿宋_GB2312"/>
          <w:color w:val="auto"/>
          <w:kern w:val="0"/>
          <w:sz w:val="32"/>
          <w:szCs w:val="32"/>
          <w:shd w:val="clear" w:color="auto" w:fill="FFFFFF"/>
          <w:lang w:eastAsia="zh-CN"/>
        </w:rPr>
        <w:t>我局及时</w:t>
      </w:r>
      <w:r>
        <w:rPr>
          <w:rFonts w:hint="eastAsia" w:ascii="仿宋_GB2312" w:hAnsi="仿宋_GB2312" w:eastAsia="仿宋_GB2312" w:cs="仿宋_GB2312"/>
          <w:color w:val="auto"/>
          <w:kern w:val="0"/>
          <w:sz w:val="32"/>
          <w:szCs w:val="32"/>
          <w:shd w:val="clear" w:color="auto" w:fill="FFFFFF"/>
        </w:rPr>
        <w:t>对本</w:t>
      </w:r>
      <w:r>
        <w:rPr>
          <w:rFonts w:hint="eastAsia" w:ascii="仿宋_GB2312" w:hAnsi="仿宋_GB2312" w:cs="仿宋_GB2312"/>
          <w:color w:val="auto"/>
          <w:kern w:val="0"/>
          <w:sz w:val="32"/>
          <w:szCs w:val="32"/>
          <w:shd w:val="clear" w:color="auto" w:fill="FFFFFF"/>
          <w:lang w:val="en-US" w:eastAsia="zh-CN"/>
        </w:rPr>
        <w:t>部门</w:t>
      </w:r>
      <w:r>
        <w:rPr>
          <w:rFonts w:hint="eastAsia" w:ascii="仿宋_GB2312" w:hAnsi="仿宋_GB2312" w:eastAsia="仿宋_GB2312" w:cs="仿宋_GB2312"/>
          <w:color w:val="auto"/>
          <w:kern w:val="0"/>
          <w:sz w:val="32"/>
          <w:szCs w:val="32"/>
          <w:shd w:val="clear" w:color="auto" w:fill="FFFFFF"/>
        </w:rPr>
        <w:t>2022年度整体支出情况开展</w:t>
      </w:r>
      <w:r>
        <w:rPr>
          <w:rFonts w:hint="eastAsia" w:ascii="仿宋_GB2312" w:hAnsi="仿宋_GB2312" w:cs="仿宋_GB2312"/>
          <w:color w:val="auto"/>
          <w:kern w:val="0"/>
          <w:sz w:val="32"/>
          <w:szCs w:val="32"/>
          <w:shd w:val="clear" w:color="auto" w:fill="FFFFFF"/>
          <w:lang w:eastAsia="zh-CN"/>
        </w:rPr>
        <w:t>了</w:t>
      </w:r>
      <w:r>
        <w:rPr>
          <w:rFonts w:hint="eastAsia" w:ascii="仿宋_GB2312" w:hAnsi="仿宋_GB2312" w:eastAsia="仿宋_GB2312" w:cs="仿宋_GB2312"/>
          <w:color w:val="auto"/>
          <w:kern w:val="0"/>
          <w:sz w:val="32"/>
          <w:szCs w:val="32"/>
          <w:shd w:val="clear" w:color="auto" w:fill="FFFFFF"/>
        </w:rPr>
        <w:t>绩效自评，现将具体情况报告如下</w:t>
      </w:r>
      <w:r>
        <w:rPr>
          <w:rFonts w:hint="eastAsia" w:ascii="仿宋_GB2312" w:hAnsi="仿宋_GB2312" w:cs="仿宋_GB2312"/>
          <w:color w:val="auto"/>
          <w:kern w:val="0"/>
          <w:sz w:val="32"/>
          <w:szCs w:val="32"/>
          <w:shd w:val="clear" w:color="auto" w:fill="FFFFFF"/>
          <w:lang w:eastAsia="zh-CN"/>
        </w:rPr>
        <w:t>。</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eastAsia="黑体"/>
          <w:color w:val="auto"/>
          <w:kern w:val="0"/>
          <w:szCs w:val="32"/>
          <w:shd w:val="clear" w:color="auto" w:fill="FFFFFF"/>
          <w:lang w:val="zh-CN"/>
        </w:rPr>
      </w:pPr>
      <w:r>
        <w:rPr>
          <w:rFonts w:eastAsia="黑体"/>
          <w:color w:val="auto"/>
          <w:kern w:val="0"/>
          <w:szCs w:val="32"/>
          <w:shd w:val="clear" w:color="auto" w:fill="FFFFFF"/>
        </w:rPr>
        <w:t>一、</w:t>
      </w:r>
      <w:r>
        <w:rPr>
          <w:rFonts w:eastAsia="黑体"/>
          <w:color w:val="auto"/>
          <w:kern w:val="0"/>
          <w:szCs w:val="32"/>
          <w:shd w:val="clear" w:color="auto" w:fill="FFFFFF"/>
          <w:lang w:val="zh-CN"/>
        </w:rPr>
        <w:t>部门概况</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（一）机构组成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kern w:val="0"/>
          <w:sz w:val="32"/>
          <w:szCs w:val="32"/>
          <w:shd w:val="clear" w:color="auto" w:fill="FFFFFF"/>
          <w:lang w:val="zh-CN" w:eastAsia="zh-CN" w:bidi="ar-SA"/>
        </w:rPr>
      </w:pPr>
      <w:r>
        <w:rPr>
          <w:rFonts w:hint="eastAsia" w:ascii="仿宋_GB2312" w:hAnsi="仿宋_GB2312" w:eastAsia="仿宋_GB2312" w:cs="仿宋_GB2312"/>
          <w:b w:val="0"/>
          <w:bCs w:val="0"/>
          <w:color w:val="auto"/>
          <w:kern w:val="0"/>
          <w:sz w:val="32"/>
          <w:szCs w:val="32"/>
          <w:shd w:val="clear" w:color="auto" w:fill="FFFFFF"/>
          <w:lang w:val="en-US" w:eastAsia="zh-CN" w:bidi="ar-SA"/>
        </w:rPr>
        <w:t>遂宁市经济和信息化局内设18个科室，下属</w:t>
      </w:r>
      <w:r>
        <w:rPr>
          <w:rFonts w:hint="default" w:ascii="仿宋_GB2312" w:hAnsi="仿宋_GB2312" w:eastAsia="仿宋_GB2312" w:cs="仿宋_GB2312"/>
          <w:b w:val="0"/>
          <w:bCs w:val="0"/>
          <w:color w:val="auto"/>
          <w:kern w:val="0"/>
          <w:sz w:val="32"/>
          <w:szCs w:val="32"/>
          <w:shd w:val="clear" w:color="auto" w:fill="FFFFFF"/>
          <w:lang w:val="en-US" w:eastAsia="zh-CN" w:bidi="ar-SA"/>
        </w:rPr>
        <w:t>遂宁市工业节能和电力监察执法支队</w:t>
      </w:r>
      <w:r>
        <w:rPr>
          <w:rFonts w:hint="eastAsia" w:ascii="仿宋_GB2312" w:hAnsi="仿宋_GB2312" w:cs="仿宋_GB2312"/>
          <w:b w:val="0"/>
          <w:bCs w:val="0"/>
          <w:color w:val="auto"/>
          <w:kern w:val="0"/>
          <w:sz w:val="32"/>
          <w:szCs w:val="32"/>
          <w:shd w:val="clear" w:color="auto" w:fill="FFFFFF"/>
          <w:lang w:val="en-US" w:eastAsia="zh-CN" w:bidi="ar-SA"/>
        </w:rPr>
        <w:t>、</w:t>
      </w:r>
      <w:r>
        <w:rPr>
          <w:rFonts w:hint="eastAsia" w:ascii="仿宋_GB2312" w:hAnsi="仿宋_GB2312" w:eastAsia="仿宋_GB2312" w:cs="仿宋_GB2312"/>
          <w:b w:val="0"/>
          <w:bCs w:val="0"/>
          <w:color w:val="auto"/>
          <w:kern w:val="0"/>
          <w:sz w:val="32"/>
          <w:szCs w:val="32"/>
          <w:shd w:val="clear" w:color="auto" w:fill="FFFFFF"/>
          <w:lang w:val="en-US" w:eastAsia="zh-CN" w:bidi="ar-SA"/>
        </w:rPr>
        <w:t>无线电监测站2个事业单位。</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（二）机构职能</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贯彻实施国家、省有关工业经济、信息化和无线电管理的方针、政策和法律、法规，组织实施国家西部大开发战略等有关工业经济的政策措施，研究拟订全市有关工业经济、信息化和无线电管理的政策措施并组织实施；负责本系统、本部门依法行政工作，落实行政执法责任制。组织推动信息化和工业化融合、工业化与城镇化联动，负责推进全市工业结构调整。</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2.负责拟订新型工业化发展战略和重大政策，协调解决新型工业化进程中的重大问题，组织实施工业强市战略。参与制订国民经济和社会发展规划，负责制定并组织实施工业、信息化相关行业的发展规划、年度计划和产业政策，拟订行业技术规范与行业标准并组织实施，指导行业质量管理工作。</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3.监测、分析经济运行态势和质量，建立全市工业经济运行预警机制，拟订中、近期经济运行目标、政策并组织实施，协调解决经济运行中的重大问题。负责电力、煤炭、成品油、天然气等重要物资综合调控、紧急调度和交通运输协调工作，负责市级医药储备的监督管理。承办年度工业经济目标责任考核。</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 xml:space="preserve">4.负责全市企业技术改造推进工作，组织制定并实施全市企业技术改造投资规划和政策，制定并发布全市企业技术改造投资项目引导目录。提出工业和信息化固定资产投资规模的意见，按照规定权限审批、核准、备案或转报审批、核准、备案全市企业技术改造项目，组织企业技术改造项目申报国家、省有关专项计划并组织实施。 </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5.负责全市企业技术创新体系建设，制定鼓励企业技术创新的政策措施，指导企业技术创新、技术引进、重大装备国产化和重大技术装备研制，编制下达全市企业技术创新项目计划并组织实施，按照规定程序会同有关部门组织企业开展技术中心申报、认定和建设管理工作。</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6.负责全市产业园区建设发展的牵头服务和综合协调工作，拟订并组织实施产业园区、产业集群发展规划和政策措施，指导产业园区合理布局，负责牵头推进重点产业园区建设发展，推进园区公共配套设施建设，组织申报、实施产业园区公共服务平台项目计划。</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7.负责全市工业和信息化领域的节能降耗、清洁生产和资源节约与综合利用工作，协调推进工业化与生态环境协调发展中的重大问题，组织实施相关重大示范项目和新产品、新技术、新工艺、新设备、新材料的推广应用。</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8.负责推进企业信用制度建设，负责中小企业信用担保和融资体系建设并实施行业监管，负责制订工业发展资金等财政专项资金使用计划，负责企业技术改造、技术创新、生产运行等涉及财政、信贷、税收、保险等方面问题的协调，指导工业企业直接融资工作，参与工业企业上市培育工作。</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9.对国家重大工业经济政策实施情况进行督查，指导企业建立现代企业制度、改组改造、兼并重组，负责全市企业治乱减负工作，指导企业经营管理人员、专业技术人员培训，负责全市大企业大集团和龙头骨干企业的培育工作，负责全市中小企业发展的指导推进工作，综合协调有关部门拟订促进中小企业发展的政策措施，负责推进中小企业服务体系建设。</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10.负责对全市工业各行业实施行业管理，制定并组织实施相关政策措施，拟订新材料、节能环保、生物医药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11.统筹推进全市信息化工作，制定并组织实施相关政策，指导电子政务、企业信息化、电子商务和物联网发展，推动跨行业、跨部门面向社会服务网络的互联互通和信息资源共享。</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12.负责全市信息基础设施建设的规划、协调和管理，组织相关部门制订通信管线规划并承担相应的管理工作，协调电信市场涉及社会公共利益的重大事项。</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13.组织协调全市信息安全保障体系建设，指导和监督政府部门、重点行业的重要信息系统与信息网络的安全保障工作，指导信息安全防范工作，参与处理网络与信息安全重大事件。</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14.统一配置和管理全市无线电频率资源，依法监督管理无线电台(站)，协助做好无线电电磁环境保护工作，负责无线电监测、检测和干扰查处，协调军地无线电管理相关事宜，维护空中电波秩序，依法组织实施无线电管制。</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15.会同有关部门提出工业和信息化领域对外开放和利用外资的政策建议，参与区域经济合作和承接产业转移工作。指导工业和信息化企业开展对外交流与合作、国际化经营、境外投资及兼并重组。</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16.承担市政府公布的有关行政审批事项。</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17.承办市政府交办的其他事项。</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（三）人员概况</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highlight w:val="none"/>
        </w:rPr>
      </w:pPr>
      <w:r>
        <w:rPr>
          <w:rFonts w:hint="eastAsia"/>
          <w:highlight w:val="none"/>
        </w:rPr>
        <w:t>遂宁市经济和信息化局机关行政编制56</w:t>
      </w:r>
      <w:r>
        <w:rPr>
          <w:rFonts w:hint="eastAsia"/>
          <w:highlight w:val="none"/>
          <w:lang w:eastAsia="zh-CN"/>
        </w:rPr>
        <w:t>人</w:t>
      </w:r>
      <w:r>
        <w:rPr>
          <w:rFonts w:hint="eastAsia"/>
          <w:highlight w:val="none"/>
        </w:rPr>
        <w:t>，在职52人</w:t>
      </w:r>
      <w:r>
        <w:rPr>
          <w:rFonts w:hint="eastAsia"/>
          <w:highlight w:val="none"/>
          <w:lang w:val="en-US" w:eastAsia="zh-CN"/>
        </w:rPr>
        <w:t>,</w:t>
      </w:r>
      <w:r>
        <w:rPr>
          <w:rFonts w:hint="eastAsia"/>
          <w:highlight w:val="none"/>
        </w:rPr>
        <w:t>机关工勤</w:t>
      </w:r>
      <w:r>
        <w:rPr>
          <w:rFonts w:hint="eastAsia"/>
          <w:highlight w:val="none"/>
          <w:lang w:eastAsia="zh-CN"/>
        </w:rPr>
        <w:t>编制</w:t>
      </w:r>
      <w:r>
        <w:rPr>
          <w:rFonts w:hint="eastAsia"/>
          <w:highlight w:val="none"/>
        </w:rPr>
        <w:t>2</w:t>
      </w:r>
      <w:r>
        <w:rPr>
          <w:rFonts w:hint="eastAsia"/>
          <w:highlight w:val="none"/>
          <w:lang w:eastAsia="zh-CN"/>
        </w:rPr>
        <w:t>人，在职</w:t>
      </w:r>
      <w:r>
        <w:rPr>
          <w:rFonts w:hint="eastAsia"/>
          <w:highlight w:val="none"/>
          <w:lang w:val="en-US" w:eastAsia="zh-CN"/>
        </w:rPr>
        <w:t>2人</w:t>
      </w:r>
      <w:r>
        <w:rPr>
          <w:rFonts w:hint="eastAsia"/>
          <w:highlight w:val="none"/>
          <w:lang w:eastAsia="zh-CN"/>
        </w:rPr>
        <w:t>；</w:t>
      </w:r>
      <w:r>
        <w:rPr>
          <w:rFonts w:hint="default" w:ascii="仿宋_GB2312" w:hAnsi="仿宋_GB2312" w:eastAsia="仿宋_GB2312" w:cs="仿宋_GB2312"/>
          <w:b w:val="0"/>
          <w:bCs w:val="0"/>
          <w:color w:val="auto"/>
          <w:kern w:val="0"/>
          <w:sz w:val="32"/>
          <w:szCs w:val="32"/>
          <w:shd w:val="clear" w:color="auto" w:fill="FFFFFF"/>
          <w:lang w:val="en-US" w:eastAsia="zh-CN" w:bidi="ar-SA"/>
        </w:rPr>
        <w:t>遂宁市工业节能和电力监察执法支队</w:t>
      </w:r>
      <w:r>
        <w:rPr>
          <w:rFonts w:hint="eastAsia"/>
          <w:highlight w:val="none"/>
        </w:rPr>
        <w:t>事业编制19</w:t>
      </w:r>
      <w:r>
        <w:rPr>
          <w:rFonts w:hint="eastAsia"/>
          <w:highlight w:val="none"/>
          <w:lang w:eastAsia="zh-CN"/>
        </w:rPr>
        <w:t>人</w:t>
      </w:r>
      <w:r>
        <w:rPr>
          <w:rFonts w:hint="eastAsia"/>
          <w:highlight w:val="none"/>
        </w:rPr>
        <w:t>，在职人员17人；</w:t>
      </w:r>
      <w:r>
        <w:rPr>
          <w:rFonts w:hint="eastAsia"/>
          <w:highlight w:val="none"/>
          <w:lang w:eastAsia="zh-CN"/>
        </w:rPr>
        <w:t>无线电</w:t>
      </w:r>
      <w:r>
        <w:rPr>
          <w:rFonts w:hint="eastAsia"/>
          <w:highlight w:val="none"/>
        </w:rPr>
        <w:t>监测站事业编制5</w:t>
      </w:r>
      <w:r>
        <w:rPr>
          <w:rFonts w:hint="eastAsia"/>
          <w:highlight w:val="none"/>
          <w:lang w:eastAsia="zh-CN"/>
        </w:rPr>
        <w:t>人</w:t>
      </w:r>
      <w:r>
        <w:rPr>
          <w:rFonts w:hint="eastAsia"/>
          <w:highlight w:val="none"/>
        </w:rPr>
        <w:t>，</w:t>
      </w:r>
      <w:r>
        <w:rPr>
          <w:rFonts w:hint="eastAsia"/>
          <w:highlight w:val="none"/>
          <w:lang w:eastAsia="zh-CN"/>
        </w:rPr>
        <w:t>在职人员</w:t>
      </w:r>
      <w:r>
        <w:rPr>
          <w:rFonts w:hint="eastAsia"/>
          <w:highlight w:val="none"/>
          <w:lang w:val="en-US" w:eastAsia="zh-CN"/>
        </w:rPr>
        <w:t>6人，超编1人；另有</w:t>
      </w:r>
      <w:r>
        <w:rPr>
          <w:rFonts w:hint="eastAsia"/>
          <w:highlight w:val="none"/>
        </w:rPr>
        <w:t>劳务派遣人员4</w:t>
      </w:r>
      <w:r>
        <w:rPr>
          <w:rFonts w:hint="eastAsia"/>
          <w:highlight w:val="none"/>
          <w:lang w:eastAsia="zh-CN"/>
        </w:rPr>
        <w:t>人</w:t>
      </w:r>
      <w:r>
        <w:rPr>
          <w:rFonts w:hint="eastAsia"/>
          <w:highlight w:val="none"/>
        </w:rPr>
        <w:t>，离退休人员132</w:t>
      </w:r>
      <w:r>
        <w:rPr>
          <w:rFonts w:hint="eastAsia"/>
          <w:highlight w:val="none"/>
          <w:lang w:eastAsia="zh-CN"/>
        </w:rPr>
        <w:t>人</w:t>
      </w:r>
      <w:r>
        <w:rPr>
          <w:rFonts w:hint="eastAsia"/>
          <w:highlight w:val="none"/>
        </w:rPr>
        <w:t>。</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eastAsia="黑体"/>
          <w:color w:val="000000"/>
          <w:kern w:val="0"/>
          <w:szCs w:val="32"/>
          <w:shd w:val="clear" w:color="auto" w:fill="FFFFFF"/>
        </w:rPr>
      </w:pPr>
      <w:r>
        <w:rPr>
          <w:rFonts w:eastAsia="黑体"/>
          <w:color w:val="000000"/>
          <w:kern w:val="0"/>
          <w:szCs w:val="32"/>
          <w:shd w:val="clear" w:color="auto" w:fill="FFFFFF"/>
        </w:rPr>
        <w:t>二、部门财政资金收支情况</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（一）部门财政资金收入情况</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2022年度，</w:t>
      </w:r>
      <w:r>
        <w:rPr>
          <w:rFonts w:hint="eastAsia" w:eastAsia="仿宋_GB2312" w:cs="Times New Roman"/>
          <w:kern w:val="2"/>
          <w:sz w:val="32"/>
          <w:szCs w:val="24"/>
          <w:highlight w:val="none"/>
          <w:lang w:val="en-US" w:eastAsia="zh-CN" w:bidi="ar-SA"/>
        </w:rPr>
        <w:t>我</w:t>
      </w:r>
      <w:r>
        <w:rPr>
          <w:rFonts w:hint="eastAsia" w:ascii="Times New Roman" w:hAnsi="Times New Roman" w:eastAsia="仿宋_GB2312" w:cs="Times New Roman"/>
          <w:kern w:val="2"/>
          <w:sz w:val="32"/>
          <w:szCs w:val="24"/>
          <w:highlight w:val="none"/>
          <w:lang w:val="zh-CN" w:eastAsia="zh-CN" w:bidi="ar-SA"/>
        </w:rPr>
        <w:t>局</w:t>
      </w:r>
      <w:r>
        <w:rPr>
          <w:rFonts w:hint="eastAsia" w:ascii="Times New Roman" w:hAnsi="Times New Roman" w:eastAsia="仿宋_GB2312" w:cs="Times New Roman"/>
          <w:kern w:val="2"/>
          <w:sz w:val="32"/>
          <w:szCs w:val="24"/>
          <w:highlight w:val="none"/>
          <w:lang w:val="en-US" w:eastAsia="zh-CN" w:bidi="ar-SA"/>
        </w:rPr>
        <w:t>年初预算1326.59万元，其中年初财政拨款1326.59万元，年初结转结余0，中期调整1481.72万元，其他收入0万元，调整后预算收入总额为2808.31万元。具体情况详见表2-1</w:t>
      </w:r>
      <w:r>
        <w:rPr>
          <w:rFonts w:hint="eastAsia" w:ascii="Times New Roman" w:hAnsi="Times New Roman" w:eastAsia="仿宋_GB2312" w:cs="Times New Roman"/>
          <w:kern w:val="2"/>
          <w:sz w:val="32"/>
          <w:szCs w:val="24"/>
          <w:highlight w:val="none"/>
          <w:lang w:val="zh-CN" w:eastAsia="zh-CN" w:bidi="ar-SA"/>
        </w:rPr>
        <w:t>。</w:t>
      </w:r>
    </w:p>
    <w:p>
      <w:pPr>
        <w:pStyle w:val="13"/>
        <w:pageBreakBefore w:val="0"/>
        <w:kinsoku/>
        <w:wordWrap/>
        <w:overflowPunct/>
        <w:topLinePunct w:val="0"/>
        <w:autoSpaceDE/>
        <w:autoSpaceDN/>
        <w:bidi w:val="0"/>
        <w:adjustRightInd/>
        <w:snapToGrid/>
        <w:spacing w:before="0" w:after="0" w:line="560" w:lineRule="exact"/>
        <w:ind w:left="0" w:leftChars="0" w:firstLine="481" w:firstLineChars="200"/>
        <w:rPr>
          <w:highlight w:val="none"/>
        </w:rPr>
      </w:pPr>
      <w:r>
        <w:rPr>
          <w:rFonts w:hint="eastAsia"/>
          <w:highlight w:val="none"/>
        </w:rPr>
        <w:t>表</w:t>
      </w:r>
      <w:r>
        <w:rPr>
          <w:highlight w:val="none"/>
        </w:rPr>
        <w:t>2-1 年度预算表</w:t>
      </w:r>
    </w:p>
    <w:p>
      <w:pPr>
        <w:pStyle w:val="13"/>
        <w:pageBreakBefore w:val="0"/>
        <w:kinsoku/>
        <w:wordWrap/>
        <w:overflowPunct/>
        <w:topLinePunct w:val="0"/>
        <w:autoSpaceDE/>
        <w:autoSpaceDN/>
        <w:bidi w:val="0"/>
        <w:adjustRightInd/>
        <w:snapToGrid/>
        <w:spacing w:before="0" w:after="0" w:line="560" w:lineRule="exact"/>
        <w:ind w:left="0" w:leftChars="0" w:firstLine="481" w:firstLineChars="200"/>
        <w:jc w:val="center"/>
        <w:rPr>
          <w:highlight w:val="none"/>
        </w:rPr>
      </w:pPr>
      <w:r>
        <w:rPr>
          <w:rFonts w:hint="eastAsia"/>
          <w:highlight w:val="none"/>
          <w:lang w:val="en-US" w:eastAsia="zh-CN"/>
        </w:rPr>
        <w:t xml:space="preserve">                                                     </w:t>
      </w:r>
      <w:r>
        <w:rPr>
          <w:rFonts w:hint="eastAsia"/>
          <w:highlight w:val="none"/>
        </w:rPr>
        <w:t>单位：万元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2074"/>
        <w:gridCol w:w="2081"/>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6"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1" w:firstLineChars="200"/>
              <w:jc w:val="both"/>
              <w:rPr>
                <w:b/>
                <w:bCs w:val="0"/>
                <w:highlight w:val="none"/>
              </w:rPr>
            </w:pPr>
            <w:r>
              <w:rPr>
                <w:rFonts w:hint="eastAsia"/>
                <w:b/>
                <w:bCs w:val="0"/>
                <w:highlight w:val="none"/>
              </w:rPr>
              <w:t>项目名称</w:t>
            </w:r>
          </w:p>
        </w:tc>
        <w:tc>
          <w:tcPr>
            <w:tcW w:w="2074"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1" w:firstLineChars="200"/>
              <w:jc w:val="both"/>
              <w:rPr>
                <w:b/>
                <w:bCs w:val="0"/>
                <w:highlight w:val="none"/>
              </w:rPr>
            </w:pPr>
            <w:r>
              <w:rPr>
                <w:rFonts w:hint="eastAsia"/>
                <w:b/>
                <w:bCs w:val="0"/>
                <w:highlight w:val="none"/>
              </w:rPr>
              <w:t>年初预算</w:t>
            </w:r>
          </w:p>
        </w:tc>
        <w:tc>
          <w:tcPr>
            <w:tcW w:w="2081"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1" w:firstLineChars="200"/>
              <w:jc w:val="both"/>
              <w:rPr>
                <w:b/>
                <w:bCs w:val="0"/>
                <w:highlight w:val="none"/>
              </w:rPr>
            </w:pPr>
            <w:r>
              <w:rPr>
                <w:b/>
                <w:bCs w:val="0"/>
                <w:highlight w:val="none"/>
              </w:rPr>
              <w:t>中期调整</w:t>
            </w:r>
          </w:p>
        </w:tc>
        <w:tc>
          <w:tcPr>
            <w:tcW w:w="2081"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1" w:firstLineChars="200"/>
              <w:jc w:val="both"/>
              <w:rPr>
                <w:b/>
                <w:bCs w:val="0"/>
                <w:highlight w:val="none"/>
              </w:rPr>
            </w:pPr>
            <w:r>
              <w:rPr>
                <w:b/>
                <w:bCs w:val="0"/>
                <w:highlight w:val="none"/>
              </w:rPr>
              <w:t>年度总预算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6" w:type="dxa"/>
            <w:noWrap w:val="0"/>
            <w:vAlign w:val="top"/>
          </w:tcPr>
          <w:p>
            <w:pPr>
              <w:pStyle w:val="1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highlight w:val="none"/>
              </w:rPr>
            </w:pPr>
            <w:r>
              <w:rPr>
                <w:rFonts w:hint="eastAsia"/>
                <w:highlight w:val="none"/>
              </w:rPr>
              <w:t>一、一般公共预算财政拨款收入</w:t>
            </w:r>
          </w:p>
        </w:tc>
        <w:tc>
          <w:tcPr>
            <w:tcW w:w="2074"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1326.59</w:t>
            </w:r>
          </w:p>
        </w:tc>
        <w:tc>
          <w:tcPr>
            <w:tcW w:w="2081"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lang w:val="en-US" w:eastAsia="zh-CN"/>
              </w:rPr>
              <w:t>1481.72</w:t>
            </w:r>
          </w:p>
        </w:tc>
        <w:tc>
          <w:tcPr>
            <w:tcW w:w="2081"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2808.31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6"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二、其他收入</w:t>
            </w:r>
          </w:p>
        </w:tc>
        <w:tc>
          <w:tcPr>
            <w:tcW w:w="2074"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0" w:firstLineChars="200"/>
              <w:jc w:val="center"/>
              <w:rPr>
                <w:highlight w:val="none"/>
              </w:rPr>
            </w:pPr>
            <w:r>
              <w:rPr>
                <w:rFonts w:hint="eastAsia"/>
                <w:highlight w:val="none"/>
              </w:rPr>
              <w:t>-</w:t>
            </w:r>
          </w:p>
        </w:tc>
        <w:tc>
          <w:tcPr>
            <w:tcW w:w="2081"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0" w:firstLineChars="200"/>
              <w:jc w:val="center"/>
              <w:rPr>
                <w:highlight w:val="none"/>
              </w:rPr>
            </w:pPr>
          </w:p>
        </w:tc>
        <w:tc>
          <w:tcPr>
            <w:tcW w:w="2081"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0" w:firstLineChars="20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6"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年初结转结余</w:t>
            </w:r>
          </w:p>
        </w:tc>
        <w:tc>
          <w:tcPr>
            <w:tcW w:w="2074"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0" w:firstLineChars="200"/>
              <w:jc w:val="center"/>
              <w:rPr>
                <w:highlight w:val="none"/>
              </w:rPr>
            </w:pPr>
          </w:p>
        </w:tc>
        <w:tc>
          <w:tcPr>
            <w:tcW w:w="2081"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0" w:firstLineChars="200"/>
              <w:jc w:val="center"/>
              <w:rPr>
                <w:highlight w:val="none"/>
              </w:rPr>
            </w:pPr>
            <w:r>
              <w:rPr>
                <w:rFonts w:hint="eastAsia"/>
                <w:highlight w:val="none"/>
              </w:rPr>
              <w:t>-</w:t>
            </w:r>
          </w:p>
        </w:tc>
        <w:tc>
          <w:tcPr>
            <w:tcW w:w="2081"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0" w:firstLineChars="20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6" w:type="dxa"/>
            <w:noWrap w:val="0"/>
            <w:vAlign w:val="top"/>
          </w:tcPr>
          <w:p>
            <w:pPr>
              <w:pStyle w:val="14"/>
              <w:pageBreakBefore w:val="0"/>
              <w:kinsoku/>
              <w:wordWrap/>
              <w:overflowPunct/>
              <w:topLinePunct w:val="0"/>
              <w:autoSpaceDE/>
              <w:autoSpaceDN/>
              <w:bidi w:val="0"/>
              <w:adjustRightInd/>
              <w:snapToGrid/>
              <w:spacing w:line="560" w:lineRule="exact"/>
              <w:jc w:val="center"/>
              <w:rPr>
                <w:b/>
                <w:bCs w:val="0"/>
                <w:color w:val="FF0000"/>
                <w:highlight w:val="none"/>
              </w:rPr>
            </w:pPr>
            <w:r>
              <w:rPr>
                <w:rFonts w:hint="eastAsia"/>
                <w:b/>
                <w:bCs w:val="0"/>
                <w:highlight w:val="none"/>
              </w:rPr>
              <w:t>总计</w:t>
            </w:r>
          </w:p>
        </w:tc>
        <w:tc>
          <w:tcPr>
            <w:tcW w:w="2074" w:type="dxa"/>
            <w:noWrap w:val="0"/>
            <w:vAlign w:val="top"/>
          </w:tcPr>
          <w:p>
            <w:pPr>
              <w:pStyle w:val="14"/>
              <w:pageBreakBefore w:val="0"/>
              <w:kinsoku/>
              <w:wordWrap/>
              <w:overflowPunct/>
              <w:topLinePunct w:val="0"/>
              <w:autoSpaceDE/>
              <w:autoSpaceDN/>
              <w:bidi w:val="0"/>
              <w:adjustRightInd/>
              <w:snapToGrid/>
              <w:spacing w:line="560" w:lineRule="exact"/>
              <w:jc w:val="center"/>
              <w:rPr>
                <w:b/>
                <w:bCs w:val="0"/>
                <w:highlight w:val="none"/>
              </w:rPr>
            </w:pPr>
            <w:r>
              <w:rPr>
                <w:rFonts w:hint="eastAsia"/>
                <w:b/>
                <w:bCs w:val="0"/>
                <w:highlight w:val="none"/>
              </w:rPr>
              <w:t>1326.59</w:t>
            </w:r>
          </w:p>
        </w:tc>
        <w:tc>
          <w:tcPr>
            <w:tcW w:w="2081" w:type="dxa"/>
            <w:noWrap w:val="0"/>
            <w:vAlign w:val="top"/>
          </w:tcPr>
          <w:p>
            <w:pPr>
              <w:pStyle w:val="14"/>
              <w:pageBreakBefore w:val="0"/>
              <w:kinsoku/>
              <w:wordWrap/>
              <w:overflowPunct/>
              <w:topLinePunct w:val="0"/>
              <w:autoSpaceDE/>
              <w:autoSpaceDN/>
              <w:bidi w:val="0"/>
              <w:adjustRightInd/>
              <w:snapToGrid/>
              <w:spacing w:line="560" w:lineRule="exact"/>
              <w:jc w:val="center"/>
              <w:rPr>
                <w:rFonts w:hint="default" w:eastAsia="仿宋"/>
                <w:b/>
                <w:bCs w:val="0"/>
                <w:highlight w:val="none"/>
                <w:lang w:val="en-US" w:eastAsia="zh-CN"/>
              </w:rPr>
            </w:pPr>
            <w:r>
              <w:rPr>
                <w:rFonts w:hint="default" w:eastAsia="仿宋"/>
                <w:b/>
                <w:bCs w:val="0"/>
                <w:highlight w:val="none"/>
                <w:lang w:val="en-US" w:eastAsia="zh-CN"/>
              </w:rPr>
              <w:t>1481.72</w:t>
            </w:r>
          </w:p>
        </w:tc>
        <w:tc>
          <w:tcPr>
            <w:tcW w:w="2081" w:type="dxa"/>
            <w:noWrap w:val="0"/>
            <w:vAlign w:val="top"/>
          </w:tcPr>
          <w:p>
            <w:pPr>
              <w:pStyle w:val="14"/>
              <w:pageBreakBefore w:val="0"/>
              <w:pBdr>
                <w:between w:val="none" w:color="auto" w:sz="0" w:space="0"/>
              </w:pBdr>
              <w:kinsoku/>
              <w:wordWrap/>
              <w:overflowPunct/>
              <w:topLinePunct w:val="0"/>
              <w:autoSpaceDE/>
              <w:autoSpaceDN/>
              <w:bidi w:val="0"/>
              <w:adjustRightInd/>
              <w:snapToGrid/>
              <w:spacing w:line="560" w:lineRule="exact"/>
              <w:jc w:val="center"/>
              <w:rPr>
                <w:rFonts w:hint="default" w:eastAsia="仿宋"/>
                <w:b/>
                <w:bCs w:val="0"/>
                <w:highlight w:val="none"/>
                <w:lang w:val="en-US" w:eastAsia="zh-CN"/>
              </w:rPr>
            </w:pPr>
            <w:r>
              <w:rPr>
                <w:rFonts w:hint="eastAsia"/>
                <w:b/>
                <w:bCs w:val="0"/>
                <w:highlight w:val="none"/>
                <w:lang w:val="en-US" w:eastAsia="zh-CN"/>
              </w:rPr>
              <w:t>2808.31</w:t>
            </w:r>
          </w:p>
        </w:tc>
      </w:tr>
    </w:tbl>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（二）部门财政资金支出情况</w:t>
      </w:r>
    </w:p>
    <w:p>
      <w:pPr>
        <w:pStyle w:val="11"/>
        <w:pageBreakBefore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2022年度</w:t>
      </w:r>
      <w:r>
        <w:rPr>
          <w:rFonts w:hint="eastAsia" w:eastAsia="仿宋_GB2312" w:cs="Times New Roman"/>
          <w:kern w:val="2"/>
          <w:sz w:val="32"/>
          <w:szCs w:val="24"/>
          <w:highlight w:val="none"/>
          <w:lang w:val="en-US" w:eastAsia="zh-CN" w:bidi="ar-SA"/>
        </w:rPr>
        <w:t>，我</w:t>
      </w:r>
      <w:r>
        <w:rPr>
          <w:rFonts w:hint="eastAsia" w:ascii="Times New Roman" w:hAnsi="Times New Roman" w:eastAsia="仿宋_GB2312" w:cs="Times New Roman"/>
          <w:kern w:val="2"/>
          <w:sz w:val="32"/>
          <w:szCs w:val="24"/>
          <w:highlight w:val="none"/>
          <w:lang w:val="zh-CN" w:eastAsia="zh-CN" w:bidi="ar-SA"/>
        </w:rPr>
        <w:t>局</w:t>
      </w:r>
      <w:r>
        <w:rPr>
          <w:rFonts w:hint="eastAsia" w:ascii="Times New Roman" w:hAnsi="Times New Roman" w:eastAsia="仿宋_GB2312" w:cs="Times New Roman"/>
          <w:kern w:val="2"/>
          <w:sz w:val="32"/>
          <w:szCs w:val="24"/>
          <w:highlight w:val="none"/>
          <w:lang w:val="en-US" w:eastAsia="zh-CN" w:bidi="ar-SA"/>
        </w:rPr>
        <w:t>财政支出年初预算为1326.59万元，中期调整为1481.72万元，调整后预算支出总额为2808.31万元，部门支出预算执行总额为2808.31万元，部门总体执行进度为100%，其中：基本支出预算总额为2178.14万元，基本支出执行总额为2178.14万元，基本支出总体执行进度100%；项目支出预算总额为630.17万元，项目支出执行总额为630.17万元，项目支出总体执行进度100%。具体情况详见表2-2。</w:t>
      </w:r>
    </w:p>
    <w:p>
      <w:pPr>
        <w:pStyle w:val="13"/>
        <w:pageBreakBefore w:val="0"/>
        <w:kinsoku/>
        <w:wordWrap/>
        <w:overflowPunct/>
        <w:topLinePunct w:val="0"/>
        <w:autoSpaceDE/>
        <w:autoSpaceDN/>
        <w:bidi w:val="0"/>
        <w:adjustRightInd/>
        <w:snapToGrid/>
        <w:spacing w:before="0" w:after="0" w:line="560" w:lineRule="exact"/>
        <w:ind w:left="0" w:leftChars="0" w:firstLine="481" w:firstLineChars="200"/>
        <w:rPr>
          <w:highlight w:val="none"/>
        </w:rPr>
      </w:pPr>
      <w:r>
        <w:rPr>
          <w:rFonts w:hint="eastAsia"/>
          <w:highlight w:val="none"/>
        </w:rPr>
        <w:t>表</w:t>
      </w:r>
      <w:r>
        <w:rPr>
          <w:highlight w:val="none"/>
        </w:rPr>
        <w:t>2-2 年度预算执行表</w:t>
      </w:r>
    </w:p>
    <w:p>
      <w:pPr>
        <w:pStyle w:val="13"/>
        <w:pageBreakBefore w:val="0"/>
        <w:kinsoku/>
        <w:wordWrap/>
        <w:overflowPunct/>
        <w:topLinePunct w:val="0"/>
        <w:autoSpaceDE/>
        <w:autoSpaceDN/>
        <w:bidi w:val="0"/>
        <w:adjustRightInd/>
        <w:snapToGrid/>
        <w:spacing w:before="0" w:after="0" w:line="560" w:lineRule="exact"/>
        <w:ind w:left="0" w:leftChars="0" w:firstLine="481" w:firstLineChars="200"/>
        <w:jc w:val="center"/>
        <w:rPr>
          <w:highlight w:val="none"/>
        </w:rPr>
      </w:pPr>
      <w:r>
        <w:rPr>
          <w:rFonts w:hint="eastAsia"/>
          <w:highlight w:val="none"/>
          <w:lang w:val="en-US" w:eastAsia="zh-CN"/>
        </w:rPr>
        <w:t xml:space="preserve">                                                    </w:t>
      </w:r>
      <w:r>
        <w:rPr>
          <w:rFonts w:hint="eastAsia"/>
          <w:highlight w:val="none"/>
        </w:rPr>
        <w:t>单位：万元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156"/>
        <w:gridCol w:w="1389"/>
        <w:gridCol w:w="1389"/>
        <w:gridCol w:w="139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1" w:firstLineChars="200"/>
              <w:rPr>
                <w:b/>
                <w:bCs w:val="0"/>
                <w:highlight w:val="none"/>
              </w:rPr>
            </w:pPr>
            <w:r>
              <w:rPr>
                <w:rFonts w:hint="eastAsia"/>
                <w:b/>
                <w:bCs w:val="0"/>
                <w:highlight w:val="none"/>
              </w:rPr>
              <w:t>项目名称</w:t>
            </w:r>
          </w:p>
        </w:tc>
        <w:tc>
          <w:tcPr>
            <w:tcW w:w="1156" w:type="dxa"/>
            <w:noWrap w:val="0"/>
            <w:vAlign w:val="top"/>
          </w:tcPr>
          <w:p>
            <w:pPr>
              <w:pStyle w:val="14"/>
              <w:pageBreakBefore w:val="0"/>
              <w:kinsoku/>
              <w:wordWrap/>
              <w:overflowPunct/>
              <w:topLinePunct w:val="0"/>
              <w:autoSpaceDE/>
              <w:autoSpaceDN/>
              <w:bidi w:val="0"/>
              <w:adjustRightInd/>
              <w:snapToGrid/>
              <w:spacing w:line="560" w:lineRule="exact"/>
              <w:jc w:val="both"/>
              <w:rPr>
                <w:b/>
                <w:bCs w:val="0"/>
                <w:highlight w:val="none"/>
              </w:rPr>
            </w:pPr>
            <w:r>
              <w:rPr>
                <w:b/>
                <w:bCs w:val="0"/>
                <w:highlight w:val="none"/>
              </w:rPr>
              <w:t>年度预算</w:t>
            </w:r>
          </w:p>
        </w:tc>
        <w:tc>
          <w:tcPr>
            <w:tcW w:w="1389" w:type="dxa"/>
            <w:noWrap w:val="0"/>
            <w:vAlign w:val="top"/>
          </w:tcPr>
          <w:p>
            <w:pPr>
              <w:pStyle w:val="14"/>
              <w:pageBreakBefore w:val="0"/>
              <w:kinsoku/>
              <w:wordWrap/>
              <w:overflowPunct/>
              <w:topLinePunct w:val="0"/>
              <w:autoSpaceDE/>
              <w:autoSpaceDN/>
              <w:bidi w:val="0"/>
              <w:adjustRightInd/>
              <w:snapToGrid/>
              <w:spacing w:line="560" w:lineRule="exact"/>
              <w:jc w:val="both"/>
              <w:rPr>
                <w:b/>
                <w:bCs w:val="0"/>
                <w:highlight w:val="none"/>
              </w:rPr>
            </w:pPr>
            <w:r>
              <w:rPr>
                <w:b/>
                <w:bCs w:val="0"/>
                <w:highlight w:val="none"/>
              </w:rPr>
              <w:t>中期调整</w:t>
            </w:r>
          </w:p>
        </w:tc>
        <w:tc>
          <w:tcPr>
            <w:tcW w:w="1389" w:type="dxa"/>
            <w:tcBorders>
              <w:bottom w:val="single" w:color="auto" w:sz="4" w:space="0"/>
            </w:tcBorders>
            <w:noWrap w:val="0"/>
            <w:vAlign w:val="top"/>
          </w:tcPr>
          <w:p>
            <w:pPr>
              <w:pStyle w:val="14"/>
              <w:pageBreakBefore w:val="0"/>
              <w:kinsoku/>
              <w:wordWrap/>
              <w:overflowPunct/>
              <w:topLinePunct w:val="0"/>
              <w:autoSpaceDE/>
              <w:autoSpaceDN/>
              <w:bidi w:val="0"/>
              <w:adjustRightInd/>
              <w:snapToGrid/>
              <w:spacing w:line="560" w:lineRule="exact"/>
              <w:jc w:val="both"/>
              <w:rPr>
                <w:b/>
                <w:bCs w:val="0"/>
                <w:highlight w:val="none"/>
              </w:rPr>
            </w:pPr>
            <w:r>
              <w:rPr>
                <w:b/>
                <w:bCs w:val="0"/>
                <w:highlight w:val="none"/>
              </w:rPr>
              <w:t>年初总预算</w:t>
            </w:r>
          </w:p>
        </w:tc>
        <w:tc>
          <w:tcPr>
            <w:tcW w:w="1390" w:type="dxa"/>
            <w:tcBorders>
              <w:bottom w:val="single" w:color="auto" w:sz="4" w:space="0"/>
            </w:tcBorders>
            <w:noWrap w:val="0"/>
            <w:vAlign w:val="top"/>
          </w:tcPr>
          <w:p>
            <w:pPr>
              <w:pStyle w:val="14"/>
              <w:pageBreakBefore w:val="0"/>
              <w:kinsoku/>
              <w:wordWrap/>
              <w:overflowPunct/>
              <w:topLinePunct w:val="0"/>
              <w:autoSpaceDE/>
              <w:autoSpaceDN/>
              <w:bidi w:val="0"/>
              <w:adjustRightInd/>
              <w:snapToGrid/>
              <w:spacing w:line="560" w:lineRule="exact"/>
              <w:jc w:val="both"/>
              <w:rPr>
                <w:b/>
                <w:bCs w:val="0"/>
                <w:highlight w:val="none"/>
              </w:rPr>
            </w:pPr>
            <w:r>
              <w:rPr>
                <w:b/>
                <w:bCs w:val="0"/>
                <w:highlight w:val="none"/>
              </w:rPr>
              <w:t>预算执行</w:t>
            </w:r>
          </w:p>
        </w:tc>
        <w:tc>
          <w:tcPr>
            <w:tcW w:w="1383" w:type="dxa"/>
            <w:noWrap w:val="0"/>
            <w:vAlign w:val="top"/>
          </w:tcPr>
          <w:p>
            <w:pPr>
              <w:pStyle w:val="14"/>
              <w:pageBreakBefore w:val="0"/>
              <w:kinsoku/>
              <w:wordWrap/>
              <w:overflowPunct/>
              <w:topLinePunct w:val="0"/>
              <w:autoSpaceDE/>
              <w:autoSpaceDN/>
              <w:bidi w:val="0"/>
              <w:adjustRightInd/>
              <w:snapToGrid/>
              <w:spacing w:line="560" w:lineRule="exact"/>
              <w:jc w:val="both"/>
              <w:rPr>
                <w:b/>
                <w:bCs w:val="0"/>
                <w:highlight w:val="none"/>
              </w:rPr>
            </w:pPr>
            <w:r>
              <w:rPr>
                <w:b/>
                <w:bCs w:val="0"/>
                <w:highlight w:val="none"/>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一、基本支出</w:t>
            </w:r>
          </w:p>
        </w:tc>
        <w:tc>
          <w:tcPr>
            <w:tcW w:w="1156" w:type="dxa"/>
            <w:noWrap w:val="0"/>
            <w:vAlign w:val="top"/>
          </w:tcPr>
          <w:p>
            <w:pPr>
              <w:pageBreakBefore w:val="0"/>
              <w:widowControl/>
              <w:kinsoku/>
              <w:wordWrap/>
              <w:overflowPunct/>
              <w:topLinePunct w:val="0"/>
              <w:autoSpaceDE/>
              <w:autoSpaceDN/>
              <w:bidi w:val="0"/>
              <w:adjustRightInd/>
              <w:snapToGrid/>
              <w:spacing w:line="560" w:lineRule="exact"/>
              <w:jc w:val="center"/>
              <w:rPr>
                <w:rFonts w:cs="Arial"/>
                <w:color w:val="000000"/>
                <w:kern w:val="0"/>
                <w:sz w:val="22"/>
                <w:szCs w:val="22"/>
                <w:highlight w:val="none"/>
              </w:rPr>
            </w:pPr>
            <w:r>
              <w:rPr>
                <w:rFonts w:hint="eastAsia" w:cs="Arial"/>
                <w:color w:val="000000"/>
                <w:kern w:val="0"/>
                <w:sz w:val="22"/>
                <w:szCs w:val="22"/>
                <w:highlight w:val="none"/>
              </w:rPr>
              <w:t>1232.89</w:t>
            </w:r>
          </w:p>
        </w:tc>
        <w:tc>
          <w:tcPr>
            <w:tcW w:w="1389" w:type="dxa"/>
            <w:tcBorders>
              <w:top w:val="nil"/>
              <w:left w:val="nil"/>
              <w:bottom w:val="single" w:color="auto" w:sz="4" w:space="0"/>
              <w:right w:val="single" w:color="auto" w:sz="8" w:space="0"/>
            </w:tcBorders>
            <w:noWrap w:val="0"/>
            <w:vAlign w:val="top"/>
          </w:tcPr>
          <w:p>
            <w:pPr>
              <w:pStyle w:val="14"/>
              <w:pageBreakBefore w:val="0"/>
              <w:kinsoku/>
              <w:wordWrap/>
              <w:overflowPunct/>
              <w:topLinePunct w:val="0"/>
              <w:autoSpaceDE/>
              <w:autoSpaceDN/>
              <w:bidi w:val="0"/>
              <w:adjustRightInd/>
              <w:snapToGrid/>
              <w:spacing w:line="560" w:lineRule="exact"/>
              <w:jc w:val="center"/>
              <w:rPr>
                <w:rFonts w:hint="default" w:eastAsia="仿宋"/>
                <w:highlight w:val="none"/>
                <w:lang w:val="en-US" w:eastAsia="zh-CN"/>
              </w:rPr>
            </w:pPr>
            <w:r>
              <w:rPr>
                <w:rFonts w:hint="eastAsia"/>
                <w:highlight w:val="none"/>
                <w:lang w:val="en-US" w:eastAsia="zh-CN"/>
              </w:rPr>
              <w:t>945.25</w:t>
            </w:r>
          </w:p>
        </w:tc>
        <w:tc>
          <w:tcPr>
            <w:tcW w:w="1389" w:type="dxa"/>
            <w:tcBorders>
              <w:top w:val="single" w:color="auto" w:sz="4" w:space="0"/>
              <w:left w:val="nil"/>
              <w:bottom w:val="single" w:color="auto" w:sz="4" w:space="0"/>
              <w:right w:val="single" w:color="auto" w:sz="4" w:space="0"/>
            </w:tcBorders>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2178.14</w:t>
            </w:r>
          </w:p>
        </w:tc>
        <w:tc>
          <w:tcPr>
            <w:tcW w:w="1390" w:type="dxa"/>
            <w:tcBorders>
              <w:top w:val="single" w:color="auto" w:sz="4" w:space="0"/>
              <w:left w:val="single" w:color="auto" w:sz="4" w:space="0"/>
              <w:bottom w:val="single" w:color="auto" w:sz="4" w:space="0"/>
              <w:right w:val="nil"/>
            </w:tcBorders>
            <w:noWrap w:val="0"/>
            <w:vAlign w:val="top"/>
          </w:tcPr>
          <w:p>
            <w:pPr>
              <w:pStyle w:val="14"/>
              <w:pageBreakBefore w:val="0"/>
              <w:kinsoku/>
              <w:wordWrap/>
              <w:overflowPunct/>
              <w:topLinePunct w:val="0"/>
              <w:autoSpaceDE/>
              <w:autoSpaceDN/>
              <w:bidi w:val="0"/>
              <w:adjustRightInd/>
              <w:snapToGrid/>
              <w:spacing w:line="560" w:lineRule="exact"/>
              <w:jc w:val="center"/>
              <w:rPr>
                <w:rFonts w:ascii="Times New Roman" w:hAnsi="Times New Roman" w:eastAsia="仿宋" w:cs="宋体"/>
                <w:bCs/>
                <w:color w:val="000000"/>
                <w:kern w:val="0"/>
                <w:sz w:val="22"/>
                <w:szCs w:val="28"/>
                <w:highlight w:val="none"/>
                <w:lang w:val="zh-CN" w:eastAsia="zh-CN" w:bidi="ar-SA"/>
              </w:rPr>
            </w:pPr>
            <w:r>
              <w:rPr>
                <w:rFonts w:hint="eastAsia"/>
                <w:highlight w:val="none"/>
              </w:rPr>
              <w:t>2178.14</w:t>
            </w:r>
          </w:p>
        </w:tc>
        <w:tc>
          <w:tcPr>
            <w:tcW w:w="1383"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1</w:t>
            </w:r>
            <w:r>
              <w:rPr>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highlight w:val="none"/>
              </w:rPr>
              <w:t>人员经费</w:t>
            </w:r>
          </w:p>
        </w:tc>
        <w:tc>
          <w:tcPr>
            <w:tcW w:w="1156" w:type="dxa"/>
            <w:noWrap w:val="0"/>
            <w:vAlign w:val="top"/>
          </w:tcPr>
          <w:p>
            <w:pPr>
              <w:pageBreakBefore w:val="0"/>
              <w:widowControl/>
              <w:kinsoku/>
              <w:wordWrap/>
              <w:overflowPunct/>
              <w:topLinePunct w:val="0"/>
              <w:autoSpaceDE/>
              <w:autoSpaceDN/>
              <w:bidi w:val="0"/>
              <w:adjustRightInd/>
              <w:snapToGrid/>
              <w:spacing w:line="560" w:lineRule="exact"/>
              <w:jc w:val="center"/>
              <w:rPr>
                <w:rFonts w:cs="Arial"/>
                <w:color w:val="000000"/>
                <w:kern w:val="0"/>
                <w:sz w:val="22"/>
                <w:szCs w:val="22"/>
                <w:highlight w:val="none"/>
              </w:rPr>
            </w:pPr>
            <w:r>
              <w:rPr>
                <w:rFonts w:hint="eastAsia" w:cs="Arial"/>
                <w:color w:val="000000"/>
                <w:kern w:val="0"/>
                <w:sz w:val="22"/>
                <w:szCs w:val="22"/>
                <w:highlight w:val="none"/>
              </w:rPr>
              <w:t>1045.67</w:t>
            </w:r>
          </w:p>
        </w:tc>
        <w:tc>
          <w:tcPr>
            <w:tcW w:w="1389" w:type="dxa"/>
            <w:tcBorders>
              <w:top w:val="nil"/>
              <w:left w:val="nil"/>
              <w:bottom w:val="single" w:color="auto" w:sz="4" w:space="0"/>
              <w:right w:val="single" w:color="auto" w:sz="8" w:space="0"/>
            </w:tcBorders>
            <w:noWrap w:val="0"/>
            <w:vAlign w:val="top"/>
          </w:tcPr>
          <w:p>
            <w:pPr>
              <w:pStyle w:val="14"/>
              <w:pageBreakBefore w:val="0"/>
              <w:kinsoku/>
              <w:wordWrap/>
              <w:overflowPunct/>
              <w:topLinePunct w:val="0"/>
              <w:autoSpaceDE/>
              <w:autoSpaceDN/>
              <w:bidi w:val="0"/>
              <w:adjustRightInd/>
              <w:snapToGrid/>
              <w:spacing w:line="560" w:lineRule="exact"/>
              <w:jc w:val="center"/>
              <w:rPr>
                <w:rFonts w:hint="default" w:eastAsia="仿宋"/>
                <w:highlight w:val="none"/>
                <w:lang w:val="en-US" w:eastAsia="zh-CN"/>
              </w:rPr>
            </w:pPr>
            <w:r>
              <w:rPr>
                <w:rFonts w:hint="eastAsia"/>
                <w:highlight w:val="none"/>
                <w:lang w:val="en-US" w:eastAsia="zh-CN"/>
              </w:rPr>
              <w:t>904.51</w:t>
            </w:r>
          </w:p>
        </w:tc>
        <w:tc>
          <w:tcPr>
            <w:tcW w:w="1389" w:type="dxa"/>
            <w:tcBorders>
              <w:top w:val="single" w:color="auto" w:sz="4" w:space="0"/>
              <w:left w:val="nil"/>
              <w:bottom w:val="single" w:color="auto" w:sz="4" w:space="0"/>
              <w:right w:val="single" w:color="auto" w:sz="4" w:space="0"/>
            </w:tcBorders>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1950.18</w:t>
            </w:r>
          </w:p>
        </w:tc>
        <w:tc>
          <w:tcPr>
            <w:tcW w:w="1390" w:type="dxa"/>
            <w:tcBorders>
              <w:top w:val="single" w:color="auto" w:sz="4" w:space="0"/>
              <w:left w:val="single" w:color="auto" w:sz="4" w:space="0"/>
              <w:bottom w:val="single" w:color="auto" w:sz="4" w:space="0"/>
              <w:right w:val="nil"/>
            </w:tcBorders>
            <w:noWrap w:val="0"/>
            <w:vAlign w:val="top"/>
          </w:tcPr>
          <w:p>
            <w:pPr>
              <w:pStyle w:val="14"/>
              <w:pageBreakBefore w:val="0"/>
              <w:kinsoku/>
              <w:wordWrap/>
              <w:overflowPunct/>
              <w:topLinePunct w:val="0"/>
              <w:autoSpaceDE/>
              <w:autoSpaceDN/>
              <w:bidi w:val="0"/>
              <w:adjustRightInd/>
              <w:snapToGrid/>
              <w:spacing w:line="560" w:lineRule="exact"/>
              <w:jc w:val="center"/>
              <w:rPr>
                <w:rFonts w:ascii="Times New Roman" w:hAnsi="Times New Roman" w:eastAsia="仿宋" w:cs="宋体"/>
                <w:bCs/>
                <w:color w:val="000000"/>
                <w:kern w:val="0"/>
                <w:sz w:val="22"/>
                <w:szCs w:val="28"/>
                <w:highlight w:val="none"/>
                <w:lang w:val="zh-CN" w:eastAsia="zh-CN" w:bidi="ar-SA"/>
              </w:rPr>
            </w:pPr>
            <w:r>
              <w:rPr>
                <w:rFonts w:hint="eastAsia"/>
                <w:highlight w:val="none"/>
              </w:rPr>
              <w:t>1950.18</w:t>
            </w:r>
          </w:p>
        </w:tc>
        <w:tc>
          <w:tcPr>
            <w:tcW w:w="1383"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1</w:t>
            </w:r>
            <w:r>
              <w:rPr>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5"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公用经费</w:t>
            </w:r>
          </w:p>
        </w:tc>
        <w:tc>
          <w:tcPr>
            <w:tcW w:w="1156" w:type="dxa"/>
            <w:noWrap w:val="0"/>
            <w:vAlign w:val="top"/>
          </w:tcPr>
          <w:p>
            <w:pPr>
              <w:pageBreakBefore w:val="0"/>
              <w:widowControl/>
              <w:kinsoku/>
              <w:wordWrap/>
              <w:overflowPunct/>
              <w:topLinePunct w:val="0"/>
              <w:autoSpaceDE/>
              <w:autoSpaceDN/>
              <w:bidi w:val="0"/>
              <w:adjustRightInd/>
              <w:snapToGrid/>
              <w:spacing w:line="560" w:lineRule="exact"/>
              <w:jc w:val="center"/>
              <w:rPr>
                <w:rFonts w:cs="Arial"/>
                <w:color w:val="000000"/>
                <w:kern w:val="0"/>
                <w:sz w:val="22"/>
                <w:szCs w:val="22"/>
                <w:highlight w:val="none"/>
              </w:rPr>
            </w:pPr>
            <w:r>
              <w:rPr>
                <w:rFonts w:hint="eastAsia" w:cs="Arial"/>
                <w:color w:val="000000"/>
                <w:kern w:val="0"/>
                <w:sz w:val="22"/>
                <w:szCs w:val="22"/>
                <w:highlight w:val="none"/>
              </w:rPr>
              <w:t>187.22</w:t>
            </w:r>
          </w:p>
        </w:tc>
        <w:tc>
          <w:tcPr>
            <w:tcW w:w="1389" w:type="dxa"/>
            <w:tcBorders>
              <w:top w:val="nil"/>
              <w:left w:val="nil"/>
              <w:bottom w:val="single" w:color="auto" w:sz="4" w:space="0"/>
              <w:right w:val="single" w:color="auto" w:sz="8" w:space="0"/>
            </w:tcBorders>
            <w:noWrap w:val="0"/>
            <w:vAlign w:val="top"/>
          </w:tcPr>
          <w:p>
            <w:pPr>
              <w:pStyle w:val="14"/>
              <w:pageBreakBefore w:val="0"/>
              <w:kinsoku/>
              <w:wordWrap/>
              <w:overflowPunct/>
              <w:topLinePunct w:val="0"/>
              <w:autoSpaceDE/>
              <w:autoSpaceDN/>
              <w:bidi w:val="0"/>
              <w:adjustRightInd/>
              <w:snapToGrid/>
              <w:spacing w:line="560" w:lineRule="exact"/>
              <w:jc w:val="center"/>
              <w:rPr>
                <w:rFonts w:hint="default" w:eastAsia="仿宋"/>
                <w:highlight w:val="none"/>
                <w:lang w:val="en-US" w:eastAsia="zh-CN"/>
              </w:rPr>
            </w:pPr>
            <w:r>
              <w:rPr>
                <w:rFonts w:hint="eastAsia"/>
                <w:highlight w:val="none"/>
                <w:lang w:val="en-US" w:eastAsia="zh-CN"/>
              </w:rPr>
              <w:t>40.73</w:t>
            </w:r>
          </w:p>
        </w:tc>
        <w:tc>
          <w:tcPr>
            <w:tcW w:w="1389" w:type="dxa"/>
            <w:tcBorders>
              <w:top w:val="single" w:color="auto" w:sz="4" w:space="0"/>
              <w:left w:val="nil"/>
              <w:bottom w:val="single" w:color="auto" w:sz="4" w:space="0"/>
              <w:right w:val="single" w:color="auto" w:sz="4" w:space="0"/>
            </w:tcBorders>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227.95</w:t>
            </w:r>
          </w:p>
        </w:tc>
        <w:tc>
          <w:tcPr>
            <w:tcW w:w="1390" w:type="dxa"/>
            <w:tcBorders>
              <w:top w:val="single" w:color="auto" w:sz="4" w:space="0"/>
              <w:left w:val="single" w:color="auto" w:sz="4" w:space="0"/>
              <w:bottom w:val="single" w:color="auto" w:sz="4" w:space="0"/>
              <w:right w:val="nil"/>
            </w:tcBorders>
            <w:noWrap w:val="0"/>
            <w:vAlign w:val="top"/>
          </w:tcPr>
          <w:p>
            <w:pPr>
              <w:pStyle w:val="14"/>
              <w:pageBreakBefore w:val="0"/>
              <w:kinsoku/>
              <w:wordWrap/>
              <w:overflowPunct/>
              <w:topLinePunct w:val="0"/>
              <w:autoSpaceDE/>
              <w:autoSpaceDN/>
              <w:bidi w:val="0"/>
              <w:adjustRightInd/>
              <w:snapToGrid/>
              <w:spacing w:line="560" w:lineRule="exact"/>
              <w:jc w:val="center"/>
              <w:rPr>
                <w:rFonts w:ascii="Times New Roman" w:hAnsi="Times New Roman" w:eastAsia="仿宋" w:cs="宋体"/>
                <w:bCs/>
                <w:color w:val="000000"/>
                <w:kern w:val="0"/>
                <w:sz w:val="22"/>
                <w:szCs w:val="28"/>
                <w:highlight w:val="none"/>
                <w:lang w:val="zh-CN" w:eastAsia="zh-CN" w:bidi="ar-SA"/>
              </w:rPr>
            </w:pPr>
            <w:r>
              <w:rPr>
                <w:rFonts w:hint="eastAsia"/>
                <w:highlight w:val="none"/>
              </w:rPr>
              <w:t>227.95</w:t>
            </w:r>
          </w:p>
        </w:tc>
        <w:tc>
          <w:tcPr>
            <w:tcW w:w="1383" w:type="dxa"/>
            <w:noWrap w:val="0"/>
            <w:vAlign w:val="top"/>
          </w:tcPr>
          <w:p>
            <w:pPr>
              <w:pStyle w:val="14"/>
              <w:pageBreakBefore w:val="0"/>
              <w:kinsoku/>
              <w:wordWrap/>
              <w:overflowPunct/>
              <w:topLinePunct w:val="0"/>
              <w:autoSpaceDE/>
              <w:autoSpaceDN/>
              <w:bidi w:val="0"/>
              <w:adjustRightInd/>
              <w:snapToGrid/>
              <w:spacing w:line="560" w:lineRule="exact"/>
              <w:jc w:val="center"/>
              <w:rPr>
                <w:rFonts w:ascii="Times New Roman" w:hAnsi="Times New Roman" w:eastAsia="仿宋" w:cs="宋体"/>
                <w:bCs/>
                <w:color w:val="000000"/>
                <w:kern w:val="0"/>
                <w:sz w:val="22"/>
                <w:szCs w:val="28"/>
                <w:highlight w:val="none"/>
                <w:lang w:val="zh-CN" w:eastAsia="zh-CN" w:bidi="ar-SA"/>
              </w:rPr>
            </w:pPr>
            <w:r>
              <w:rPr>
                <w:rFonts w:hint="eastAsia"/>
                <w:highlight w:val="none"/>
              </w:rPr>
              <w:t>1</w:t>
            </w:r>
            <w:r>
              <w:rPr>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二、项目支出</w:t>
            </w:r>
          </w:p>
        </w:tc>
        <w:tc>
          <w:tcPr>
            <w:tcW w:w="1156" w:type="dxa"/>
            <w:noWrap w:val="0"/>
            <w:vAlign w:val="top"/>
          </w:tcPr>
          <w:p>
            <w:pPr>
              <w:pageBreakBefore w:val="0"/>
              <w:widowControl/>
              <w:kinsoku/>
              <w:wordWrap/>
              <w:overflowPunct/>
              <w:topLinePunct w:val="0"/>
              <w:autoSpaceDE/>
              <w:autoSpaceDN/>
              <w:bidi w:val="0"/>
              <w:adjustRightInd/>
              <w:snapToGrid/>
              <w:spacing w:line="560" w:lineRule="exact"/>
              <w:jc w:val="center"/>
              <w:rPr>
                <w:rFonts w:cs="Arial"/>
                <w:color w:val="000000"/>
                <w:kern w:val="0"/>
                <w:sz w:val="22"/>
                <w:szCs w:val="22"/>
                <w:highlight w:val="none"/>
              </w:rPr>
            </w:pPr>
            <w:r>
              <w:rPr>
                <w:rFonts w:hint="eastAsia" w:cs="Arial"/>
                <w:color w:val="000000"/>
                <w:kern w:val="0"/>
                <w:sz w:val="22"/>
                <w:szCs w:val="22"/>
                <w:highlight w:val="none"/>
              </w:rPr>
              <w:t>93.70</w:t>
            </w:r>
          </w:p>
        </w:tc>
        <w:tc>
          <w:tcPr>
            <w:tcW w:w="1389" w:type="dxa"/>
            <w:tcBorders>
              <w:top w:val="nil"/>
              <w:left w:val="nil"/>
              <w:bottom w:val="single" w:color="auto" w:sz="4" w:space="0"/>
              <w:right w:val="single" w:color="auto" w:sz="8" w:space="0"/>
            </w:tcBorders>
            <w:noWrap w:val="0"/>
            <w:vAlign w:val="top"/>
          </w:tcPr>
          <w:p>
            <w:pPr>
              <w:pStyle w:val="14"/>
              <w:pageBreakBefore w:val="0"/>
              <w:kinsoku/>
              <w:wordWrap/>
              <w:overflowPunct/>
              <w:topLinePunct w:val="0"/>
              <w:autoSpaceDE/>
              <w:autoSpaceDN/>
              <w:bidi w:val="0"/>
              <w:adjustRightInd/>
              <w:snapToGrid/>
              <w:spacing w:line="560" w:lineRule="exact"/>
              <w:jc w:val="center"/>
              <w:rPr>
                <w:rFonts w:hint="default" w:eastAsia="仿宋"/>
                <w:highlight w:val="none"/>
                <w:lang w:val="en-US" w:eastAsia="zh-CN"/>
              </w:rPr>
            </w:pPr>
            <w:r>
              <w:rPr>
                <w:rFonts w:hint="eastAsia"/>
                <w:highlight w:val="none"/>
                <w:lang w:val="en-US" w:eastAsia="zh-CN"/>
              </w:rPr>
              <w:t>536.47</w:t>
            </w:r>
          </w:p>
        </w:tc>
        <w:tc>
          <w:tcPr>
            <w:tcW w:w="1389" w:type="dxa"/>
            <w:tcBorders>
              <w:top w:val="single" w:color="auto" w:sz="4" w:space="0"/>
              <w:left w:val="nil"/>
              <w:bottom w:val="single" w:color="auto" w:sz="4" w:space="0"/>
              <w:right w:val="single" w:color="auto" w:sz="4" w:space="0"/>
            </w:tcBorders>
            <w:noWrap w:val="0"/>
            <w:vAlign w:val="top"/>
          </w:tcPr>
          <w:p>
            <w:pPr>
              <w:pStyle w:val="14"/>
              <w:pageBreakBefore w:val="0"/>
              <w:kinsoku/>
              <w:wordWrap/>
              <w:overflowPunct/>
              <w:topLinePunct w:val="0"/>
              <w:autoSpaceDE/>
              <w:autoSpaceDN/>
              <w:bidi w:val="0"/>
              <w:adjustRightInd/>
              <w:snapToGrid/>
              <w:spacing w:line="560" w:lineRule="exact"/>
              <w:jc w:val="center"/>
              <w:rPr>
                <w:highlight w:val="none"/>
              </w:rPr>
            </w:pPr>
            <w:r>
              <w:rPr>
                <w:rFonts w:hint="eastAsia"/>
                <w:highlight w:val="none"/>
              </w:rPr>
              <w:t>630.17</w:t>
            </w:r>
          </w:p>
        </w:tc>
        <w:tc>
          <w:tcPr>
            <w:tcW w:w="1390" w:type="dxa"/>
            <w:tcBorders>
              <w:top w:val="single" w:color="auto" w:sz="4" w:space="0"/>
              <w:left w:val="single" w:color="auto" w:sz="4" w:space="0"/>
              <w:bottom w:val="single" w:color="auto" w:sz="4" w:space="0"/>
              <w:right w:val="nil"/>
            </w:tcBorders>
            <w:noWrap w:val="0"/>
            <w:vAlign w:val="top"/>
          </w:tcPr>
          <w:p>
            <w:pPr>
              <w:pStyle w:val="14"/>
              <w:pageBreakBefore w:val="0"/>
              <w:kinsoku/>
              <w:wordWrap/>
              <w:overflowPunct/>
              <w:topLinePunct w:val="0"/>
              <w:autoSpaceDE/>
              <w:autoSpaceDN/>
              <w:bidi w:val="0"/>
              <w:adjustRightInd/>
              <w:snapToGrid/>
              <w:spacing w:line="560" w:lineRule="exact"/>
              <w:jc w:val="center"/>
              <w:rPr>
                <w:rFonts w:ascii="Times New Roman" w:hAnsi="Times New Roman" w:eastAsia="仿宋" w:cs="宋体"/>
                <w:bCs/>
                <w:color w:val="000000"/>
                <w:kern w:val="0"/>
                <w:sz w:val="22"/>
                <w:szCs w:val="28"/>
                <w:highlight w:val="none"/>
                <w:lang w:val="zh-CN" w:eastAsia="zh-CN" w:bidi="ar-SA"/>
              </w:rPr>
            </w:pPr>
            <w:r>
              <w:rPr>
                <w:rFonts w:hint="eastAsia"/>
                <w:highlight w:val="none"/>
              </w:rPr>
              <w:t>630.17</w:t>
            </w:r>
          </w:p>
        </w:tc>
        <w:tc>
          <w:tcPr>
            <w:tcW w:w="1383" w:type="dxa"/>
            <w:noWrap w:val="0"/>
            <w:vAlign w:val="top"/>
          </w:tcPr>
          <w:p>
            <w:pPr>
              <w:pStyle w:val="14"/>
              <w:pageBreakBefore w:val="0"/>
              <w:kinsoku/>
              <w:wordWrap/>
              <w:overflowPunct/>
              <w:topLinePunct w:val="0"/>
              <w:autoSpaceDE/>
              <w:autoSpaceDN/>
              <w:bidi w:val="0"/>
              <w:adjustRightInd/>
              <w:snapToGrid/>
              <w:spacing w:line="560" w:lineRule="exact"/>
              <w:jc w:val="center"/>
              <w:rPr>
                <w:rFonts w:ascii="Times New Roman" w:hAnsi="Times New Roman" w:eastAsia="仿宋" w:cs="宋体"/>
                <w:bCs/>
                <w:color w:val="000000"/>
                <w:kern w:val="0"/>
                <w:sz w:val="22"/>
                <w:szCs w:val="28"/>
                <w:highlight w:val="none"/>
                <w:lang w:val="zh-CN" w:eastAsia="zh-CN" w:bidi="ar-SA"/>
              </w:rPr>
            </w:pPr>
            <w:r>
              <w:rPr>
                <w:rFonts w:hint="eastAsia"/>
                <w:highlight w:val="none"/>
              </w:rPr>
              <w:t>1</w:t>
            </w:r>
            <w:r>
              <w:rPr>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noWrap w:val="0"/>
            <w:vAlign w:val="top"/>
          </w:tcPr>
          <w:p>
            <w:pPr>
              <w:pStyle w:val="14"/>
              <w:pageBreakBefore w:val="0"/>
              <w:kinsoku/>
              <w:wordWrap/>
              <w:overflowPunct/>
              <w:topLinePunct w:val="0"/>
              <w:autoSpaceDE/>
              <w:autoSpaceDN/>
              <w:bidi w:val="0"/>
              <w:adjustRightInd/>
              <w:snapToGrid/>
              <w:spacing w:line="560" w:lineRule="exact"/>
              <w:ind w:left="0" w:leftChars="0" w:firstLine="441" w:firstLineChars="200"/>
              <w:jc w:val="both"/>
              <w:rPr>
                <w:highlight w:val="none"/>
              </w:rPr>
            </w:pPr>
            <w:r>
              <w:rPr>
                <w:rFonts w:hint="eastAsia"/>
                <w:b/>
                <w:bCs w:val="0"/>
                <w:highlight w:val="none"/>
              </w:rPr>
              <w:t>总计</w:t>
            </w:r>
          </w:p>
        </w:tc>
        <w:tc>
          <w:tcPr>
            <w:tcW w:w="1156" w:type="dxa"/>
            <w:noWrap w:val="0"/>
            <w:vAlign w:val="top"/>
          </w:tcPr>
          <w:p>
            <w:pPr>
              <w:pStyle w:val="14"/>
              <w:pageBreakBefore w:val="0"/>
              <w:kinsoku/>
              <w:wordWrap/>
              <w:overflowPunct/>
              <w:topLinePunct w:val="0"/>
              <w:autoSpaceDE/>
              <w:autoSpaceDN/>
              <w:bidi w:val="0"/>
              <w:adjustRightInd/>
              <w:snapToGrid/>
              <w:spacing w:line="560" w:lineRule="exact"/>
              <w:jc w:val="center"/>
              <w:rPr>
                <w:b/>
                <w:bCs w:val="0"/>
                <w:highlight w:val="none"/>
              </w:rPr>
            </w:pPr>
            <w:r>
              <w:rPr>
                <w:rFonts w:hint="eastAsia"/>
                <w:b/>
                <w:bCs w:val="0"/>
                <w:highlight w:val="none"/>
              </w:rPr>
              <w:t>1326.59</w:t>
            </w:r>
          </w:p>
        </w:tc>
        <w:tc>
          <w:tcPr>
            <w:tcW w:w="1389" w:type="dxa"/>
            <w:tcBorders>
              <w:top w:val="nil"/>
              <w:left w:val="nil"/>
              <w:bottom w:val="single" w:color="auto" w:sz="4" w:space="0"/>
              <w:right w:val="single" w:color="auto" w:sz="8" w:space="0"/>
            </w:tcBorders>
            <w:noWrap w:val="0"/>
            <w:vAlign w:val="top"/>
          </w:tcPr>
          <w:p>
            <w:pPr>
              <w:pStyle w:val="14"/>
              <w:pageBreakBefore w:val="0"/>
              <w:kinsoku/>
              <w:wordWrap/>
              <w:overflowPunct/>
              <w:topLinePunct w:val="0"/>
              <w:autoSpaceDE/>
              <w:autoSpaceDN/>
              <w:bidi w:val="0"/>
              <w:adjustRightInd/>
              <w:snapToGrid/>
              <w:spacing w:line="560" w:lineRule="exact"/>
              <w:jc w:val="center"/>
              <w:rPr>
                <w:rFonts w:hint="default" w:eastAsia="仿宋"/>
                <w:b/>
                <w:bCs w:val="0"/>
                <w:highlight w:val="none"/>
                <w:lang w:val="en-US" w:eastAsia="zh-CN"/>
              </w:rPr>
            </w:pPr>
            <w:r>
              <w:rPr>
                <w:rFonts w:hint="eastAsia"/>
                <w:b/>
                <w:bCs w:val="0"/>
                <w:highlight w:val="none"/>
                <w:lang w:val="en-US" w:eastAsia="zh-CN"/>
              </w:rPr>
              <w:t>1481.72</w:t>
            </w:r>
          </w:p>
        </w:tc>
        <w:tc>
          <w:tcPr>
            <w:tcW w:w="1389" w:type="dxa"/>
            <w:tcBorders>
              <w:top w:val="single" w:color="auto" w:sz="4" w:space="0"/>
              <w:left w:val="nil"/>
              <w:bottom w:val="single" w:color="auto" w:sz="4" w:space="0"/>
              <w:right w:val="single" w:color="auto" w:sz="4" w:space="0"/>
            </w:tcBorders>
            <w:noWrap w:val="0"/>
            <w:vAlign w:val="top"/>
          </w:tcPr>
          <w:p>
            <w:pPr>
              <w:pageBreakBefore w:val="0"/>
              <w:widowControl/>
              <w:kinsoku/>
              <w:wordWrap/>
              <w:overflowPunct/>
              <w:topLinePunct w:val="0"/>
              <w:autoSpaceDE/>
              <w:autoSpaceDN/>
              <w:bidi w:val="0"/>
              <w:adjustRightInd/>
              <w:snapToGrid/>
              <w:spacing w:line="560" w:lineRule="exact"/>
              <w:jc w:val="center"/>
              <w:rPr>
                <w:rFonts w:cs="Arial"/>
                <w:b/>
                <w:bCs w:val="0"/>
                <w:color w:val="000000"/>
                <w:kern w:val="0"/>
                <w:sz w:val="22"/>
                <w:szCs w:val="22"/>
                <w:highlight w:val="none"/>
              </w:rPr>
            </w:pPr>
            <w:r>
              <w:rPr>
                <w:rFonts w:hint="eastAsia" w:cs="Arial"/>
                <w:b/>
                <w:bCs w:val="0"/>
                <w:color w:val="000000"/>
                <w:kern w:val="0"/>
                <w:sz w:val="22"/>
                <w:szCs w:val="22"/>
                <w:highlight w:val="none"/>
              </w:rPr>
              <w:t>2808.31</w:t>
            </w:r>
          </w:p>
        </w:tc>
        <w:tc>
          <w:tcPr>
            <w:tcW w:w="1390" w:type="dxa"/>
            <w:tcBorders>
              <w:top w:val="single" w:color="auto" w:sz="4" w:space="0"/>
              <w:left w:val="single" w:color="auto" w:sz="4" w:space="0"/>
              <w:bottom w:val="single" w:color="auto" w:sz="4" w:space="0"/>
              <w:right w:val="nil"/>
            </w:tcBorders>
            <w:noWrap w:val="0"/>
            <w:vAlign w:val="top"/>
          </w:tcPr>
          <w:p>
            <w:pPr>
              <w:pageBreakBefore w:val="0"/>
              <w:widowControl/>
              <w:kinsoku/>
              <w:wordWrap/>
              <w:overflowPunct/>
              <w:topLinePunct w:val="0"/>
              <w:autoSpaceDE/>
              <w:autoSpaceDN/>
              <w:bidi w:val="0"/>
              <w:adjustRightInd/>
              <w:snapToGrid/>
              <w:spacing w:line="560" w:lineRule="exact"/>
              <w:jc w:val="center"/>
              <w:rPr>
                <w:rFonts w:ascii="Times New Roman" w:hAnsi="Times New Roman" w:eastAsia="仿宋_GB2312" w:cs="Arial"/>
                <w:b/>
                <w:bCs w:val="0"/>
                <w:color w:val="000000"/>
                <w:kern w:val="0"/>
                <w:sz w:val="22"/>
                <w:szCs w:val="22"/>
                <w:highlight w:val="none"/>
                <w:lang w:val="en-US" w:eastAsia="zh-CN" w:bidi="ar-SA"/>
              </w:rPr>
            </w:pPr>
            <w:r>
              <w:rPr>
                <w:rFonts w:hint="eastAsia" w:cs="Arial"/>
                <w:b/>
                <w:bCs w:val="0"/>
                <w:color w:val="000000"/>
                <w:kern w:val="0"/>
                <w:sz w:val="22"/>
                <w:szCs w:val="22"/>
                <w:highlight w:val="none"/>
              </w:rPr>
              <w:t>2808.31</w:t>
            </w:r>
          </w:p>
        </w:tc>
        <w:tc>
          <w:tcPr>
            <w:tcW w:w="1383" w:type="dxa"/>
            <w:noWrap w:val="0"/>
            <w:vAlign w:val="top"/>
          </w:tcPr>
          <w:p>
            <w:pPr>
              <w:pStyle w:val="14"/>
              <w:pageBreakBefore w:val="0"/>
              <w:kinsoku/>
              <w:wordWrap/>
              <w:overflowPunct/>
              <w:topLinePunct w:val="0"/>
              <w:autoSpaceDE/>
              <w:autoSpaceDN/>
              <w:bidi w:val="0"/>
              <w:adjustRightInd/>
              <w:snapToGrid/>
              <w:spacing w:line="560" w:lineRule="exact"/>
              <w:jc w:val="center"/>
              <w:rPr>
                <w:b/>
                <w:bCs w:val="0"/>
                <w:highlight w:val="none"/>
              </w:rPr>
            </w:pPr>
            <w:r>
              <w:rPr>
                <w:rFonts w:hint="eastAsia"/>
                <w:b/>
                <w:bCs w:val="0"/>
                <w:highlight w:val="none"/>
                <w:lang w:val="en-US" w:eastAsia="zh-CN"/>
              </w:rPr>
              <w:t>100</w:t>
            </w:r>
            <w:r>
              <w:rPr>
                <w:b/>
                <w:bCs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noWrap w:val="0"/>
            <w:vAlign w:val="top"/>
          </w:tcPr>
          <w:p>
            <w:pPr>
              <w:pStyle w:val="14"/>
              <w:pageBreakBefore w:val="0"/>
              <w:kinsoku/>
              <w:wordWrap/>
              <w:overflowPunct/>
              <w:topLinePunct w:val="0"/>
              <w:autoSpaceDE/>
              <w:autoSpaceDN/>
              <w:bidi w:val="0"/>
              <w:adjustRightInd/>
              <w:snapToGrid/>
              <w:spacing w:line="560" w:lineRule="exact"/>
              <w:jc w:val="center"/>
              <w:rPr>
                <w:b/>
                <w:bCs w:val="0"/>
                <w:highlight w:val="none"/>
              </w:rPr>
            </w:pPr>
            <w:r>
              <w:rPr>
                <w:rFonts w:hint="eastAsia"/>
                <w:highlight w:val="none"/>
              </w:rPr>
              <w:t>年末结转结余</w:t>
            </w:r>
          </w:p>
        </w:tc>
        <w:tc>
          <w:tcPr>
            <w:tcW w:w="1156" w:type="dxa"/>
            <w:noWrap w:val="0"/>
            <w:vAlign w:val="center"/>
          </w:tcPr>
          <w:p>
            <w:pPr>
              <w:pStyle w:val="14"/>
              <w:pageBreakBefore w:val="0"/>
              <w:kinsoku/>
              <w:wordWrap/>
              <w:overflowPunct/>
              <w:topLinePunct w:val="0"/>
              <w:autoSpaceDE/>
              <w:autoSpaceDN/>
              <w:bidi w:val="0"/>
              <w:adjustRightInd/>
              <w:snapToGrid/>
              <w:spacing w:line="560" w:lineRule="exact"/>
              <w:ind w:left="0" w:leftChars="0" w:firstLine="441" w:firstLineChars="200"/>
              <w:jc w:val="both"/>
              <w:rPr>
                <w:rFonts w:hint="eastAsia" w:eastAsia="仿宋"/>
                <w:b/>
                <w:bCs w:val="0"/>
                <w:highlight w:val="none"/>
                <w:lang w:val="en-US" w:eastAsia="zh-CN"/>
              </w:rPr>
            </w:pPr>
            <w:r>
              <w:rPr>
                <w:rFonts w:hint="eastAsia"/>
                <w:b/>
                <w:bCs w:val="0"/>
                <w:highlight w:val="none"/>
                <w:lang w:val="en-US" w:eastAsia="zh-CN"/>
              </w:rPr>
              <w:t>0</w:t>
            </w:r>
          </w:p>
        </w:tc>
        <w:tc>
          <w:tcPr>
            <w:tcW w:w="1389" w:type="dxa"/>
            <w:noWrap w:val="0"/>
            <w:vAlign w:val="center"/>
          </w:tcPr>
          <w:p>
            <w:pPr>
              <w:pStyle w:val="14"/>
              <w:pageBreakBefore w:val="0"/>
              <w:kinsoku/>
              <w:wordWrap/>
              <w:overflowPunct/>
              <w:topLinePunct w:val="0"/>
              <w:autoSpaceDE/>
              <w:autoSpaceDN/>
              <w:bidi w:val="0"/>
              <w:adjustRightInd/>
              <w:snapToGrid/>
              <w:spacing w:line="560" w:lineRule="exact"/>
              <w:ind w:left="0" w:leftChars="0" w:firstLine="441" w:firstLineChars="200"/>
              <w:jc w:val="center"/>
              <w:rPr>
                <w:b/>
                <w:bCs w:val="0"/>
                <w:highlight w:val="none"/>
              </w:rPr>
            </w:pPr>
          </w:p>
        </w:tc>
        <w:tc>
          <w:tcPr>
            <w:tcW w:w="1389" w:type="dxa"/>
            <w:tcBorders>
              <w:top w:val="single" w:color="auto" w:sz="4" w:space="0"/>
            </w:tcBorders>
            <w:noWrap w:val="0"/>
            <w:vAlign w:val="center"/>
          </w:tcPr>
          <w:p>
            <w:pPr>
              <w:pStyle w:val="14"/>
              <w:pageBreakBefore w:val="0"/>
              <w:kinsoku/>
              <w:wordWrap/>
              <w:overflowPunct/>
              <w:topLinePunct w:val="0"/>
              <w:autoSpaceDE/>
              <w:autoSpaceDN/>
              <w:bidi w:val="0"/>
              <w:adjustRightInd/>
              <w:snapToGrid/>
              <w:spacing w:line="560" w:lineRule="exact"/>
              <w:ind w:left="0" w:leftChars="0" w:firstLine="441" w:firstLineChars="200"/>
              <w:jc w:val="center"/>
              <w:rPr>
                <w:b/>
                <w:bCs w:val="0"/>
                <w:highlight w:val="none"/>
              </w:rPr>
            </w:pPr>
          </w:p>
        </w:tc>
        <w:tc>
          <w:tcPr>
            <w:tcW w:w="1390" w:type="dxa"/>
            <w:tcBorders>
              <w:top w:val="single" w:color="auto" w:sz="4" w:space="0"/>
            </w:tcBorders>
            <w:noWrap w:val="0"/>
            <w:vAlign w:val="center"/>
          </w:tcPr>
          <w:p>
            <w:pPr>
              <w:pageBreakBefore w:val="0"/>
              <w:widowControl/>
              <w:kinsoku/>
              <w:wordWrap/>
              <w:overflowPunct/>
              <w:topLinePunct w:val="0"/>
              <w:autoSpaceDE/>
              <w:autoSpaceDN/>
              <w:bidi w:val="0"/>
              <w:adjustRightInd/>
              <w:snapToGrid/>
              <w:spacing w:line="560" w:lineRule="exact"/>
              <w:ind w:left="0" w:leftChars="0" w:firstLine="440" w:firstLineChars="200"/>
              <w:jc w:val="center"/>
              <w:rPr>
                <w:rFonts w:cs="Arial"/>
                <w:color w:val="000000"/>
                <w:kern w:val="0"/>
                <w:sz w:val="22"/>
                <w:szCs w:val="22"/>
                <w:highlight w:val="none"/>
              </w:rPr>
            </w:pPr>
          </w:p>
        </w:tc>
        <w:tc>
          <w:tcPr>
            <w:tcW w:w="1383" w:type="dxa"/>
            <w:noWrap w:val="0"/>
            <w:vAlign w:val="center"/>
          </w:tcPr>
          <w:p>
            <w:pPr>
              <w:pStyle w:val="14"/>
              <w:pageBreakBefore w:val="0"/>
              <w:kinsoku/>
              <w:wordWrap/>
              <w:overflowPunct/>
              <w:topLinePunct w:val="0"/>
              <w:autoSpaceDE/>
              <w:autoSpaceDN/>
              <w:bidi w:val="0"/>
              <w:adjustRightInd/>
              <w:snapToGrid/>
              <w:spacing w:line="560" w:lineRule="exact"/>
              <w:ind w:left="0" w:leftChars="0" w:firstLine="441" w:firstLineChars="200"/>
              <w:jc w:val="center"/>
              <w:rPr>
                <w:b/>
                <w:bCs w:val="0"/>
                <w:highlight w:val="none"/>
              </w:rPr>
            </w:pPr>
          </w:p>
        </w:tc>
      </w:tr>
    </w:tbl>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eastAsia="黑体"/>
          <w:color w:val="000000"/>
          <w:kern w:val="0"/>
          <w:szCs w:val="32"/>
          <w:highlight w:val="none"/>
          <w:shd w:val="clear" w:color="auto" w:fill="FFFFFF"/>
        </w:rPr>
      </w:pPr>
      <w:r>
        <w:rPr>
          <w:rFonts w:eastAsia="黑体"/>
          <w:color w:val="000000"/>
          <w:kern w:val="0"/>
          <w:szCs w:val="32"/>
          <w:highlight w:val="none"/>
          <w:shd w:val="clear" w:color="auto" w:fill="FFFFFF"/>
        </w:rPr>
        <w:t>三、部门整体预算绩效管理情况</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楷体_GB2312" w:hAnsi="楷体_GB2312" w:eastAsia="楷体_GB2312" w:cs="楷体_GB2312"/>
          <w:color w:val="auto"/>
          <w:kern w:val="0"/>
          <w:szCs w:val="32"/>
          <w:shd w:val="clear" w:color="auto" w:fill="FFFFFF"/>
          <w:lang w:val="zh-CN" w:eastAsia="zh-CN"/>
        </w:rPr>
      </w:pPr>
      <w:r>
        <w:rPr>
          <w:rFonts w:hint="eastAsia" w:ascii="楷体_GB2312" w:hAnsi="楷体_GB2312" w:eastAsia="楷体_GB2312" w:cs="楷体_GB2312"/>
          <w:color w:val="auto"/>
          <w:kern w:val="0"/>
          <w:szCs w:val="32"/>
          <w:shd w:val="clear" w:color="auto" w:fill="FFFFFF"/>
          <w:lang w:val="zh-CN" w:eastAsia="zh-CN"/>
        </w:rPr>
        <w:t>（一）部门预算项目绩效管理</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1.部门绩效目标制定</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default" w:ascii="Times New Roman" w:hAnsi="Times New Roman" w:eastAsia="仿宋_GB2312" w:cs="Times New Roman"/>
          <w:kern w:val="2"/>
          <w:sz w:val="32"/>
          <w:szCs w:val="24"/>
          <w:highlight w:val="none"/>
          <w:lang w:val="en-US" w:eastAsia="zh-CN" w:bidi="ar-SA"/>
        </w:rPr>
      </w:pPr>
      <w:r>
        <w:rPr>
          <w:rFonts w:hint="eastAsia" w:cs="Times New Roman"/>
          <w:kern w:val="2"/>
          <w:sz w:val="32"/>
          <w:szCs w:val="24"/>
          <w:highlight w:val="none"/>
          <w:lang w:val="en-US" w:eastAsia="zh-CN" w:bidi="ar-SA"/>
        </w:rPr>
        <w:t>我</w:t>
      </w:r>
      <w:r>
        <w:rPr>
          <w:rFonts w:hint="eastAsia" w:ascii="Times New Roman" w:hAnsi="Times New Roman" w:eastAsia="仿宋_GB2312" w:cs="Times New Roman"/>
          <w:kern w:val="2"/>
          <w:sz w:val="32"/>
          <w:szCs w:val="24"/>
          <w:highlight w:val="none"/>
          <w:lang w:val="zh-CN" w:eastAsia="zh-CN" w:bidi="ar-SA"/>
        </w:rPr>
        <w:t>局按照绩效目标管理要求，编制部门整体支出、</w:t>
      </w:r>
      <w:r>
        <w:rPr>
          <w:rFonts w:hint="eastAsia" w:ascii="Times New Roman" w:hAnsi="Times New Roman" w:eastAsia="仿宋_GB2312" w:cs="Times New Roman"/>
          <w:kern w:val="2"/>
          <w:sz w:val="32"/>
          <w:szCs w:val="24"/>
          <w:highlight w:val="none"/>
          <w:lang w:val="en-US" w:eastAsia="zh-CN" w:bidi="ar-SA"/>
        </w:rPr>
        <w:t>经济运行工作经费、3+3+3产业经费、民营经济和中小企业发展工作经费、设备购置费等</w:t>
      </w:r>
      <w:r>
        <w:rPr>
          <w:rFonts w:hint="eastAsia" w:cs="Times New Roman"/>
          <w:kern w:val="2"/>
          <w:sz w:val="32"/>
          <w:szCs w:val="24"/>
          <w:highlight w:val="none"/>
          <w:lang w:val="en-US" w:eastAsia="zh-CN" w:bidi="ar-SA"/>
        </w:rPr>
        <w:t>六</w:t>
      </w:r>
      <w:r>
        <w:rPr>
          <w:rFonts w:hint="eastAsia" w:ascii="Times New Roman" w:hAnsi="Times New Roman" w:eastAsia="仿宋_GB2312" w:cs="Times New Roman"/>
          <w:kern w:val="2"/>
          <w:sz w:val="32"/>
          <w:szCs w:val="24"/>
          <w:highlight w:val="none"/>
          <w:lang w:val="en-US" w:eastAsia="zh-CN" w:bidi="ar-SA"/>
        </w:rPr>
        <w:t>个项目绩效目标表。每一个绩效表设定了整体目标，根据产出、效益、满意度等指标结合项目具体情况细化设置二三级指标。并将绩效目标表与</w:t>
      </w:r>
      <w:r>
        <w:rPr>
          <w:rFonts w:hint="eastAsia" w:ascii="Times New Roman" w:hAnsi="Times New Roman" w:eastAsia="仿宋_GB2312" w:cs="Times New Roman"/>
          <w:kern w:val="2"/>
          <w:sz w:val="32"/>
          <w:szCs w:val="24"/>
          <w:highlight w:val="none"/>
          <w:lang w:val="zh-CN" w:eastAsia="zh-CN" w:bidi="ar-SA"/>
        </w:rPr>
        <w:t>2022年部门预算报市财政部门审核，</w:t>
      </w:r>
      <w:r>
        <w:rPr>
          <w:rFonts w:hint="eastAsia" w:ascii="Times New Roman" w:hAnsi="Times New Roman" w:eastAsia="仿宋_GB2312" w:cs="Times New Roman"/>
          <w:kern w:val="2"/>
          <w:sz w:val="32"/>
          <w:szCs w:val="24"/>
          <w:highlight w:val="none"/>
          <w:lang w:val="en-US" w:eastAsia="zh-CN" w:bidi="ar-SA"/>
        </w:rPr>
        <w:t>市财政部门批复后及时在</w:t>
      </w:r>
      <w:r>
        <w:rPr>
          <w:rFonts w:hint="eastAsia" w:cs="Times New Roman"/>
          <w:kern w:val="2"/>
          <w:sz w:val="32"/>
          <w:szCs w:val="24"/>
          <w:highlight w:val="none"/>
          <w:lang w:val="en-US" w:eastAsia="zh-CN" w:bidi="ar-SA"/>
        </w:rPr>
        <w:t>市</w:t>
      </w:r>
      <w:r>
        <w:rPr>
          <w:rFonts w:hint="eastAsia" w:ascii="Times New Roman" w:hAnsi="Times New Roman" w:eastAsia="仿宋_GB2312" w:cs="Times New Roman"/>
          <w:kern w:val="2"/>
          <w:sz w:val="32"/>
          <w:szCs w:val="24"/>
          <w:highlight w:val="none"/>
          <w:lang w:val="en-US" w:eastAsia="zh-CN" w:bidi="ar-SA"/>
        </w:rPr>
        <w:t>政府</w:t>
      </w:r>
      <w:r>
        <w:rPr>
          <w:rFonts w:hint="eastAsia" w:cs="Times New Roman"/>
          <w:kern w:val="2"/>
          <w:sz w:val="32"/>
          <w:szCs w:val="24"/>
          <w:highlight w:val="none"/>
          <w:lang w:val="en-US" w:eastAsia="zh-CN" w:bidi="ar-SA"/>
        </w:rPr>
        <w:t>网站</w:t>
      </w:r>
      <w:r>
        <w:rPr>
          <w:rFonts w:hint="eastAsia" w:ascii="Times New Roman" w:hAnsi="Times New Roman" w:eastAsia="仿宋_GB2312" w:cs="Times New Roman"/>
          <w:kern w:val="2"/>
          <w:sz w:val="32"/>
          <w:szCs w:val="24"/>
          <w:highlight w:val="none"/>
          <w:lang w:val="en-US" w:eastAsia="zh-CN" w:bidi="ar-SA"/>
        </w:rPr>
        <w:t>和</w:t>
      </w:r>
      <w:r>
        <w:rPr>
          <w:rFonts w:hint="eastAsia" w:cs="Times New Roman"/>
          <w:kern w:val="2"/>
          <w:sz w:val="32"/>
          <w:szCs w:val="24"/>
          <w:highlight w:val="none"/>
          <w:lang w:val="en-US" w:eastAsia="zh-CN" w:bidi="ar-SA"/>
        </w:rPr>
        <w:t>我</w:t>
      </w:r>
      <w:r>
        <w:rPr>
          <w:rFonts w:hint="eastAsia" w:ascii="Times New Roman" w:hAnsi="Times New Roman" w:eastAsia="仿宋_GB2312" w:cs="Times New Roman"/>
          <w:kern w:val="2"/>
          <w:sz w:val="32"/>
          <w:szCs w:val="24"/>
          <w:highlight w:val="none"/>
          <w:lang w:val="zh-CN" w:eastAsia="zh-CN" w:bidi="ar-SA"/>
        </w:rPr>
        <w:t>局门户网站</w:t>
      </w:r>
      <w:r>
        <w:rPr>
          <w:rFonts w:hint="eastAsia" w:ascii="Times New Roman" w:hAnsi="Times New Roman" w:eastAsia="仿宋_GB2312" w:cs="Times New Roman"/>
          <w:kern w:val="2"/>
          <w:sz w:val="32"/>
          <w:szCs w:val="24"/>
          <w:highlight w:val="none"/>
          <w:lang w:val="en-US" w:eastAsia="zh-CN" w:bidi="ar-SA"/>
        </w:rPr>
        <w:t>上公示了</w:t>
      </w:r>
      <w:r>
        <w:rPr>
          <w:rFonts w:hint="eastAsia" w:ascii="Times New Roman" w:hAnsi="Times New Roman" w:eastAsia="仿宋_GB2312" w:cs="Times New Roman"/>
          <w:kern w:val="2"/>
          <w:sz w:val="32"/>
          <w:szCs w:val="24"/>
          <w:highlight w:val="none"/>
          <w:lang w:val="zh-CN" w:eastAsia="zh-CN" w:bidi="ar-SA"/>
        </w:rPr>
        <w:t>2022年部门预算和对应绩效目标申报表</w:t>
      </w:r>
      <w:r>
        <w:rPr>
          <w:rFonts w:hint="eastAsia" w:ascii="Times New Roman" w:hAnsi="Times New Roman" w:eastAsia="仿宋_GB2312" w:cs="Times New Roman"/>
          <w:kern w:val="2"/>
          <w:sz w:val="32"/>
          <w:szCs w:val="24"/>
          <w:highlight w:val="none"/>
          <w:lang w:val="en-US" w:eastAsia="zh-CN" w:bidi="ar-SA"/>
        </w:rPr>
        <w:t>。</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2.目标实现</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default" w:ascii="Times New Roman" w:hAnsi="Times New Roman" w:eastAsia="仿宋_GB2312" w:cs="Times New Roman"/>
          <w:kern w:val="2"/>
          <w:sz w:val="32"/>
          <w:szCs w:val="24"/>
          <w:highlight w:val="none"/>
          <w:lang w:val="en-US" w:eastAsia="zh-CN" w:bidi="ar-SA"/>
        </w:rPr>
      </w:pPr>
      <w:r>
        <w:rPr>
          <w:rFonts w:hint="eastAsia" w:cs="Times New Roman"/>
          <w:kern w:val="2"/>
          <w:sz w:val="32"/>
          <w:szCs w:val="24"/>
          <w:highlight w:val="none"/>
          <w:lang w:val="en-US" w:eastAsia="zh-CN" w:bidi="ar-SA"/>
        </w:rPr>
        <w:t>我</w:t>
      </w:r>
      <w:r>
        <w:rPr>
          <w:rFonts w:hint="eastAsia" w:ascii="Times New Roman" w:hAnsi="Times New Roman" w:eastAsia="仿宋_GB2312" w:cs="Times New Roman"/>
          <w:kern w:val="2"/>
          <w:sz w:val="32"/>
          <w:szCs w:val="24"/>
          <w:highlight w:val="none"/>
          <w:lang w:val="en-US" w:eastAsia="zh-CN" w:bidi="ar-SA"/>
        </w:rPr>
        <w:t>局2022年</w:t>
      </w:r>
      <w:r>
        <w:rPr>
          <w:rFonts w:hint="eastAsia" w:ascii="Times New Roman" w:hAnsi="Times New Roman" w:eastAsia="仿宋_GB2312" w:cs="Times New Roman"/>
          <w:kern w:val="2"/>
          <w:sz w:val="32"/>
          <w:szCs w:val="24"/>
          <w:highlight w:val="none"/>
          <w:lang w:val="zh-CN" w:eastAsia="zh-CN" w:bidi="ar-SA"/>
        </w:rPr>
        <w:t>基本支出</w:t>
      </w:r>
      <w:r>
        <w:rPr>
          <w:rFonts w:hint="eastAsia" w:ascii="Times New Roman" w:hAnsi="Times New Roman" w:eastAsia="仿宋_GB2312" w:cs="Times New Roman"/>
          <w:kern w:val="2"/>
          <w:sz w:val="32"/>
          <w:szCs w:val="24"/>
          <w:highlight w:val="none"/>
          <w:lang w:val="en-US" w:eastAsia="zh-CN" w:bidi="ar-SA"/>
        </w:rPr>
        <w:t>年度预算</w:t>
      </w:r>
      <w:r>
        <w:rPr>
          <w:rFonts w:hint="eastAsia" w:ascii="Times New Roman" w:hAnsi="Times New Roman" w:eastAsia="仿宋_GB2312" w:cs="Times New Roman"/>
          <w:kern w:val="2"/>
          <w:sz w:val="32"/>
          <w:szCs w:val="24"/>
          <w:highlight w:val="none"/>
          <w:lang w:val="zh-CN" w:eastAsia="zh-CN" w:bidi="ar-SA"/>
        </w:rPr>
        <w:t>总额为</w:t>
      </w:r>
      <w:r>
        <w:rPr>
          <w:rFonts w:hint="eastAsia" w:ascii="Times New Roman" w:hAnsi="Times New Roman" w:eastAsia="仿宋_GB2312" w:cs="Times New Roman"/>
          <w:kern w:val="2"/>
          <w:sz w:val="32"/>
          <w:szCs w:val="24"/>
          <w:highlight w:val="none"/>
          <w:lang w:val="en-US" w:eastAsia="zh-CN" w:bidi="ar-SA"/>
        </w:rPr>
        <w:t>1232.89</w:t>
      </w:r>
      <w:r>
        <w:rPr>
          <w:rFonts w:hint="eastAsia" w:ascii="Times New Roman" w:hAnsi="Times New Roman" w:eastAsia="仿宋_GB2312" w:cs="Times New Roman"/>
          <w:kern w:val="2"/>
          <w:sz w:val="32"/>
          <w:szCs w:val="24"/>
          <w:highlight w:val="none"/>
          <w:lang w:val="zh-CN" w:eastAsia="zh-CN" w:bidi="ar-SA"/>
        </w:rPr>
        <w:t>万元，</w:t>
      </w:r>
      <w:r>
        <w:rPr>
          <w:rFonts w:hint="eastAsia" w:ascii="Times New Roman" w:hAnsi="Times New Roman" w:eastAsia="仿宋_GB2312" w:cs="Times New Roman"/>
          <w:kern w:val="2"/>
          <w:sz w:val="32"/>
          <w:szCs w:val="24"/>
          <w:highlight w:val="none"/>
          <w:lang w:val="en-US" w:eastAsia="zh-CN" w:bidi="ar-SA"/>
        </w:rPr>
        <w:t>其中人员年度预算总额为1045.67万元，日常公用经费年度预算总额为187.22万元；2022年</w:t>
      </w:r>
      <w:r>
        <w:rPr>
          <w:rFonts w:hint="eastAsia" w:ascii="Times New Roman" w:hAnsi="Times New Roman" w:eastAsia="仿宋_GB2312" w:cs="Times New Roman"/>
          <w:kern w:val="2"/>
          <w:sz w:val="32"/>
          <w:szCs w:val="24"/>
          <w:highlight w:val="none"/>
          <w:lang w:val="zh-CN" w:eastAsia="zh-CN" w:bidi="ar-SA"/>
        </w:rPr>
        <w:t>基本支出执行总额为2178.14万元，</w:t>
      </w:r>
      <w:r>
        <w:rPr>
          <w:rFonts w:hint="eastAsia" w:ascii="Times New Roman" w:hAnsi="Times New Roman" w:eastAsia="仿宋_GB2312" w:cs="Times New Roman"/>
          <w:kern w:val="2"/>
          <w:sz w:val="32"/>
          <w:szCs w:val="24"/>
          <w:highlight w:val="none"/>
          <w:lang w:val="en-US" w:eastAsia="zh-CN" w:bidi="ar-SA"/>
        </w:rPr>
        <w:t>其中人员</w:t>
      </w:r>
      <w:r>
        <w:rPr>
          <w:rFonts w:hint="eastAsia" w:ascii="Times New Roman" w:hAnsi="Times New Roman" w:eastAsia="仿宋_GB2312" w:cs="Times New Roman"/>
          <w:kern w:val="2"/>
          <w:sz w:val="32"/>
          <w:szCs w:val="24"/>
          <w:highlight w:val="none"/>
          <w:lang w:val="zh-CN" w:eastAsia="zh-CN" w:bidi="ar-SA"/>
        </w:rPr>
        <w:t>支出执行总额</w:t>
      </w:r>
      <w:r>
        <w:rPr>
          <w:rFonts w:hint="eastAsia" w:ascii="Times New Roman" w:hAnsi="Times New Roman" w:eastAsia="仿宋_GB2312" w:cs="Times New Roman"/>
          <w:kern w:val="2"/>
          <w:sz w:val="32"/>
          <w:szCs w:val="24"/>
          <w:highlight w:val="none"/>
          <w:lang w:val="en-US" w:eastAsia="zh-CN" w:bidi="ar-SA"/>
        </w:rPr>
        <w:t>为1950.18万元，预算完成率为186.5%，日常公用经费</w:t>
      </w:r>
      <w:r>
        <w:rPr>
          <w:rFonts w:hint="eastAsia" w:ascii="Times New Roman" w:hAnsi="Times New Roman" w:eastAsia="仿宋_GB2312" w:cs="Times New Roman"/>
          <w:kern w:val="2"/>
          <w:sz w:val="32"/>
          <w:szCs w:val="24"/>
          <w:highlight w:val="none"/>
          <w:lang w:val="zh-CN" w:eastAsia="zh-CN" w:bidi="ar-SA"/>
        </w:rPr>
        <w:t>支出执行总额</w:t>
      </w:r>
      <w:r>
        <w:rPr>
          <w:rFonts w:hint="eastAsia" w:ascii="Times New Roman" w:hAnsi="Times New Roman" w:eastAsia="仿宋_GB2312" w:cs="Times New Roman"/>
          <w:kern w:val="2"/>
          <w:sz w:val="32"/>
          <w:szCs w:val="24"/>
          <w:highlight w:val="none"/>
          <w:lang w:val="en-US" w:eastAsia="zh-CN" w:bidi="ar-SA"/>
        </w:rPr>
        <w:t>为227.95万元，预算完成率</w:t>
      </w:r>
      <w:r>
        <w:rPr>
          <w:rFonts w:hint="eastAsia" w:cs="Times New Roman"/>
          <w:kern w:val="2"/>
          <w:sz w:val="32"/>
          <w:szCs w:val="24"/>
          <w:highlight w:val="none"/>
          <w:lang w:val="en-US" w:eastAsia="zh-CN" w:bidi="ar-SA"/>
        </w:rPr>
        <w:t>为</w:t>
      </w:r>
      <w:r>
        <w:rPr>
          <w:rFonts w:hint="eastAsia" w:ascii="Times New Roman" w:hAnsi="Times New Roman" w:eastAsia="仿宋_GB2312" w:cs="Times New Roman"/>
          <w:kern w:val="2"/>
          <w:sz w:val="32"/>
          <w:szCs w:val="24"/>
          <w:highlight w:val="none"/>
          <w:lang w:val="en-US" w:eastAsia="zh-CN" w:bidi="ar-SA"/>
        </w:rPr>
        <w:t>121.76%。2022年特定项目支出预算总额为93.70万元，支出执行总额为630.17万元，预算完成率为672.54%。</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400"/>
        <w:gridCol w:w="1489"/>
        <w:gridCol w:w="1517"/>
        <w:gridCol w:w="140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19" w:type="pct"/>
            <w:noWrap/>
            <w:vAlign w:val="center"/>
          </w:tcPr>
          <w:p>
            <w:pPr>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机关及下级单位</w:t>
            </w:r>
          </w:p>
        </w:tc>
        <w:tc>
          <w:tcPr>
            <w:tcW w:w="772" w:type="pct"/>
            <w:noWrap/>
            <w:vAlign w:val="center"/>
          </w:tcPr>
          <w:p>
            <w:pPr>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项目</w:t>
            </w:r>
          </w:p>
        </w:tc>
        <w:tc>
          <w:tcPr>
            <w:tcW w:w="821" w:type="pct"/>
            <w:noWrap/>
            <w:vAlign w:val="center"/>
          </w:tcPr>
          <w:p>
            <w:pPr>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绩效目标</w:t>
            </w:r>
          </w:p>
        </w:tc>
        <w:tc>
          <w:tcPr>
            <w:tcW w:w="837" w:type="pct"/>
            <w:noWrap/>
            <w:vAlign w:val="center"/>
          </w:tcPr>
          <w:p>
            <w:pPr>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数量指标</w:t>
            </w:r>
          </w:p>
        </w:tc>
        <w:tc>
          <w:tcPr>
            <w:tcW w:w="774" w:type="pct"/>
            <w:noWrap/>
            <w:vAlign w:val="center"/>
          </w:tcPr>
          <w:p>
            <w:pPr>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目标值</w:t>
            </w:r>
          </w:p>
        </w:tc>
        <w:tc>
          <w:tcPr>
            <w:tcW w:w="774" w:type="pct"/>
            <w:noWrap/>
            <w:vAlign w:val="center"/>
          </w:tcPr>
          <w:p>
            <w:pPr>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19"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Arial"/>
                <w:color w:val="auto"/>
                <w:kern w:val="0"/>
                <w:sz w:val="22"/>
                <w:szCs w:val="22"/>
                <w:highlight w:val="none"/>
                <w:lang w:val="en-US" w:eastAsia="zh-CN"/>
              </w:rPr>
            </w:pPr>
            <w:r>
              <w:rPr>
                <w:rFonts w:hint="eastAsia" w:cs="Arial"/>
                <w:color w:val="auto"/>
                <w:kern w:val="0"/>
                <w:sz w:val="22"/>
                <w:szCs w:val="22"/>
                <w:highlight w:val="none"/>
                <w:lang w:val="en-US" w:eastAsia="zh-CN"/>
              </w:rPr>
              <w:t>市经济和信息局</w:t>
            </w:r>
          </w:p>
        </w:tc>
        <w:tc>
          <w:tcPr>
            <w:tcW w:w="772"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Arial"/>
                <w:color w:val="auto"/>
                <w:kern w:val="0"/>
                <w:sz w:val="22"/>
                <w:szCs w:val="22"/>
                <w:highlight w:val="none"/>
                <w:lang w:val="en-US" w:eastAsia="zh-CN"/>
              </w:rPr>
            </w:pPr>
            <w:r>
              <w:rPr>
                <w:rFonts w:hint="eastAsia" w:ascii="Times New Roman" w:hAnsi="Times New Roman" w:cs="Arial"/>
                <w:color w:val="auto"/>
                <w:kern w:val="0"/>
                <w:sz w:val="22"/>
                <w:szCs w:val="22"/>
                <w:highlight w:val="none"/>
                <w:lang w:val="zh-CN" w:eastAsia="zh-CN"/>
              </w:rPr>
              <w:t>人员类</w:t>
            </w:r>
          </w:p>
        </w:tc>
        <w:tc>
          <w:tcPr>
            <w:tcW w:w="821"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Arial"/>
                <w:color w:val="auto"/>
                <w:kern w:val="0"/>
                <w:sz w:val="22"/>
                <w:szCs w:val="22"/>
                <w:highlight w:val="none"/>
                <w:lang w:val="en-US" w:eastAsia="zh-CN"/>
              </w:rPr>
            </w:pPr>
            <w:r>
              <w:rPr>
                <w:rFonts w:hint="eastAsia" w:ascii="Times New Roman" w:hAnsi="Times New Roman" w:cs="Arial"/>
                <w:color w:val="auto"/>
                <w:kern w:val="0"/>
                <w:sz w:val="22"/>
                <w:szCs w:val="22"/>
                <w:highlight w:val="none"/>
                <w:lang w:val="en-US" w:eastAsia="zh-CN"/>
              </w:rPr>
              <w:t>1045.67万元</w:t>
            </w:r>
          </w:p>
        </w:tc>
        <w:tc>
          <w:tcPr>
            <w:tcW w:w="837"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Arial"/>
                <w:color w:val="auto"/>
                <w:kern w:val="0"/>
                <w:sz w:val="22"/>
                <w:szCs w:val="22"/>
                <w:highlight w:val="none"/>
                <w:lang w:val="en-US" w:eastAsia="zh-CN" w:bidi="ar-SA"/>
              </w:rPr>
            </w:pPr>
            <w:r>
              <w:rPr>
                <w:rFonts w:hint="eastAsia" w:ascii="Times New Roman" w:hAnsi="Times New Roman" w:cs="Arial"/>
                <w:color w:val="auto"/>
                <w:kern w:val="0"/>
                <w:sz w:val="22"/>
                <w:szCs w:val="22"/>
                <w:highlight w:val="none"/>
                <w:lang w:val="en-US" w:eastAsia="zh-CN"/>
              </w:rPr>
              <w:t>1045.67万元</w:t>
            </w:r>
          </w:p>
        </w:tc>
        <w:tc>
          <w:tcPr>
            <w:tcW w:w="774"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Arial"/>
                <w:color w:val="auto"/>
                <w:kern w:val="0"/>
                <w:sz w:val="22"/>
                <w:szCs w:val="22"/>
                <w:highlight w:val="none"/>
                <w:lang w:val="en-US" w:eastAsia="zh-CN" w:bidi="ar-SA"/>
              </w:rPr>
            </w:pPr>
            <w:r>
              <w:rPr>
                <w:rFonts w:hint="eastAsia" w:ascii="Times New Roman" w:hAnsi="Times New Roman" w:cs="Arial"/>
                <w:color w:val="auto"/>
                <w:kern w:val="0"/>
                <w:sz w:val="22"/>
                <w:szCs w:val="22"/>
                <w:highlight w:val="none"/>
                <w:lang w:val="en-US" w:eastAsia="zh-CN"/>
              </w:rPr>
              <w:t>1045.67万元</w:t>
            </w:r>
          </w:p>
        </w:tc>
        <w:tc>
          <w:tcPr>
            <w:tcW w:w="774"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Arial"/>
                <w:color w:val="auto"/>
                <w:kern w:val="0"/>
                <w:sz w:val="22"/>
                <w:szCs w:val="22"/>
                <w:highlight w:val="none"/>
                <w:lang w:val="en-US" w:eastAsia="zh-CN"/>
              </w:rPr>
            </w:pPr>
            <w:r>
              <w:rPr>
                <w:rFonts w:hint="eastAsia" w:ascii="Times New Roman" w:hAnsi="Times New Roman" w:cs="Arial"/>
                <w:color w:val="auto"/>
                <w:kern w:val="0"/>
                <w:sz w:val="22"/>
                <w:szCs w:val="22"/>
                <w:highlight w:val="none"/>
                <w:lang w:val="en-US" w:eastAsia="zh-CN"/>
              </w:rPr>
              <w:t>1950.18万元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19"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Arial"/>
                <w:color w:val="auto"/>
                <w:kern w:val="0"/>
                <w:sz w:val="22"/>
                <w:szCs w:val="22"/>
                <w:highlight w:val="none"/>
                <w:lang w:val="en-US" w:eastAsia="zh-CN"/>
              </w:rPr>
            </w:pPr>
            <w:r>
              <w:rPr>
                <w:rFonts w:hint="eastAsia" w:cs="Arial"/>
                <w:color w:val="auto"/>
                <w:kern w:val="0"/>
                <w:sz w:val="22"/>
                <w:szCs w:val="22"/>
                <w:highlight w:val="none"/>
                <w:lang w:val="en-US" w:eastAsia="zh-CN"/>
              </w:rPr>
              <w:t>市经济和信息局</w:t>
            </w:r>
          </w:p>
        </w:tc>
        <w:tc>
          <w:tcPr>
            <w:tcW w:w="772"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Arial"/>
                <w:color w:val="auto"/>
                <w:kern w:val="0"/>
                <w:sz w:val="22"/>
                <w:szCs w:val="22"/>
                <w:highlight w:val="none"/>
                <w:lang w:val="en-US" w:eastAsia="zh-CN"/>
              </w:rPr>
            </w:pPr>
            <w:r>
              <w:rPr>
                <w:rFonts w:hint="eastAsia" w:ascii="Times New Roman" w:hAnsi="Times New Roman" w:cs="Arial"/>
                <w:color w:val="auto"/>
                <w:kern w:val="0"/>
                <w:sz w:val="22"/>
                <w:szCs w:val="22"/>
                <w:highlight w:val="none"/>
                <w:lang w:val="zh-CN" w:eastAsia="zh-CN"/>
              </w:rPr>
              <w:t>运转类</w:t>
            </w:r>
          </w:p>
        </w:tc>
        <w:tc>
          <w:tcPr>
            <w:tcW w:w="821"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Arial"/>
                <w:color w:val="auto"/>
                <w:kern w:val="0"/>
                <w:sz w:val="22"/>
                <w:szCs w:val="22"/>
                <w:highlight w:val="none"/>
                <w:lang w:val="en-US" w:eastAsia="zh-CN"/>
              </w:rPr>
            </w:pPr>
            <w:r>
              <w:rPr>
                <w:rFonts w:hint="eastAsia" w:ascii="Times New Roman" w:hAnsi="Times New Roman" w:cs="Arial"/>
                <w:color w:val="auto"/>
                <w:kern w:val="0"/>
                <w:sz w:val="22"/>
                <w:szCs w:val="22"/>
                <w:highlight w:val="none"/>
                <w:lang w:val="en-US" w:eastAsia="zh-CN"/>
              </w:rPr>
              <w:t>187.22万元</w:t>
            </w:r>
          </w:p>
        </w:tc>
        <w:tc>
          <w:tcPr>
            <w:tcW w:w="837"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Arial"/>
                <w:color w:val="auto"/>
                <w:kern w:val="0"/>
                <w:sz w:val="22"/>
                <w:szCs w:val="22"/>
                <w:highlight w:val="none"/>
                <w:lang w:val="en-US" w:eastAsia="zh-CN" w:bidi="ar-SA"/>
              </w:rPr>
            </w:pPr>
            <w:r>
              <w:rPr>
                <w:rFonts w:hint="eastAsia" w:ascii="Times New Roman" w:hAnsi="Times New Roman" w:cs="Arial"/>
                <w:color w:val="auto"/>
                <w:kern w:val="0"/>
                <w:sz w:val="22"/>
                <w:szCs w:val="22"/>
                <w:highlight w:val="none"/>
                <w:lang w:val="en-US" w:eastAsia="zh-CN"/>
              </w:rPr>
              <w:t>187.22万元</w:t>
            </w:r>
          </w:p>
        </w:tc>
        <w:tc>
          <w:tcPr>
            <w:tcW w:w="774"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Arial"/>
                <w:color w:val="auto"/>
                <w:kern w:val="0"/>
                <w:sz w:val="22"/>
                <w:szCs w:val="22"/>
                <w:highlight w:val="none"/>
                <w:lang w:val="en-US" w:eastAsia="zh-CN" w:bidi="ar-SA"/>
              </w:rPr>
            </w:pPr>
            <w:r>
              <w:rPr>
                <w:rFonts w:hint="eastAsia" w:ascii="Times New Roman" w:hAnsi="Times New Roman" w:cs="Arial"/>
                <w:color w:val="auto"/>
                <w:kern w:val="0"/>
                <w:sz w:val="22"/>
                <w:szCs w:val="22"/>
                <w:highlight w:val="none"/>
                <w:lang w:val="en-US" w:eastAsia="zh-CN"/>
              </w:rPr>
              <w:t>187.22万元</w:t>
            </w:r>
          </w:p>
        </w:tc>
        <w:tc>
          <w:tcPr>
            <w:tcW w:w="774"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Arial"/>
                <w:color w:val="auto"/>
                <w:kern w:val="0"/>
                <w:sz w:val="22"/>
                <w:szCs w:val="22"/>
                <w:highlight w:val="none"/>
                <w:lang w:val="en-US" w:eastAsia="zh-CN"/>
              </w:rPr>
            </w:pPr>
            <w:r>
              <w:rPr>
                <w:rFonts w:hint="eastAsia" w:ascii="Times New Roman" w:hAnsi="Times New Roman" w:cs="Arial"/>
                <w:color w:val="auto"/>
                <w:kern w:val="0"/>
                <w:sz w:val="22"/>
                <w:szCs w:val="22"/>
                <w:highlight w:val="none"/>
                <w:lang w:val="en-US" w:eastAsia="zh-CN"/>
              </w:rPr>
              <w:t>227.95万元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9"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Arial"/>
                <w:color w:val="auto"/>
                <w:kern w:val="0"/>
                <w:sz w:val="22"/>
                <w:szCs w:val="22"/>
                <w:highlight w:val="none"/>
                <w:lang w:val="en-US" w:eastAsia="zh-CN"/>
              </w:rPr>
            </w:pPr>
            <w:r>
              <w:rPr>
                <w:rFonts w:hint="eastAsia" w:cs="Arial"/>
                <w:color w:val="auto"/>
                <w:kern w:val="0"/>
                <w:sz w:val="22"/>
                <w:szCs w:val="22"/>
                <w:highlight w:val="none"/>
                <w:lang w:val="en-US" w:eastAsia="zh-CN"/>
              </w:rPr>
              <w:t>市经济和信息局</w:t>
            </w:r>
          </w:p>
        </w:tc>
        <w:tc>
          <w:tcPr>
            <w:tcW w:w="772"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Arial"/>
                <w:color w:val="auto"/>
                <w:kern w:val="0"/>
                <w:sz w:val="22"/>
                <w:szCs w:val="22"/>
                <w:highlight w:val="none"/>
                <w:lang w:val="en-US" w:eastAsia="zh-CN"/>
              </w:rPr>
            </w:pPr>
            <w:r>
              <w:rPr>
                <w:rFonts w:hint="eastAsia" w:ascii="Times New Roman" w:hAnsi="Times New Roman" w:cs="Arial"/>
                <w:color w:val="auto"/>
                <w:kern w:val="0"/>
                <w:sz w:val="22"/>
                <w:szCs w:val="22"/>
                <w:highlight w:val="none"/>
                <w:lang w:val="zh-CN" w:eastAsia="zh-CN"/>
              </w:rPr>
              <w:t>特定项目类</w:t>
            </w:r>
          </w:p>
        </w:tc>
        <w:tc>
          <w:tcPr>
            <w:tcW w:w="821"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Arial"/>
                <w:color w:val="auto"/>
                <w:kern w:val="0"/>
                <w:sz w:val="22"/>
                <w:szCs w:val="22"/>
                <w:highlight w:val="none"/>
                <w:lang w:val="en-US" w:eastAsia="zh-CN"/>
              </w:rPr>
            </w:pPr>
            <w:r>
              <w:rPr>
                <w:rFonts w:hint="eastAsia" w:ascii="Times New Roman" w:hAnsi="Times New Roman" w:cs="Arial"/>
                <w:color w:val="auto"/>
                <w:kern w:val="0"/>
                <w:sz w:val="22"/>
                <w:szCs w:val="22"/>
                <w:highlight w:val="none"/>
                <w:lang w:val="en-US" w:eastAsia="zh-CN"/>
              </w:rPr>
              <w:t>93.70万元</w:t>
            </w:r>
          </w:p>
        </w:tc>
        <w:tc>
          <w:tcPr>
            <w:tcW w:w="837"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Arial"/>
                <w:color w:val="auto"/>
                <w:kern w:val="0"/>
                <w:sz w:val="22"/>
                <w:szCs w:val="22"/>
                <w:highlight w:val="none"/>
                <w:lang w:val="en-US" w:eastAsia="zh-CN" w:bidi="ar-SA"/>
              </w:rPr>
            </w:pPr>
            <w:r>
              <w:rPr>
                <w:rFonts w:hint="eastAsia" w:ascii="Times New Roman" w:hAnsi="Times New Roman" w:cs="Arial"/>
                <w:color w:val="auto"/>
                <w:kern w:val="0"/>
                <w:sz w:val="22"/>
                <w:szCs w:val="22"/>
                <w:highlight w:val="none"/>
                <w:lang w:val="en-US" w:eastAsia="zh-CN"/>
              </w:rPr>
              <w:t>93.70万元</w:t>
            </w:r>
          </w:p>
        </w:tc>
        <w:tc>
          <w:tcPr>
            <w:tcW w:w="774"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Arial"/>
                <w:color w:val="auto"/>
                <w:kern w:val="0"/>
                <w:sz w:val="22"/>
                <w:szCs w:val="22"/>
                <w:highlight w:val="none"/>
                <w:lang w:val="en-US" w:eastAsia="zh-CN" w:bidi="ar-SA"/>
              </w:rPr>
            </w:pPr>
            <w:r>
              <w:rPr>
                <w:rFonts w:hint="eastAsia" w:ascii="Times New Roman" w:hAnsi="Times New Roman" w:cs="Arial"/>
                <w:color w:val="auto"/>
                <w:kern w:val="0"/>
                <w:sz w:val="22"/>
                <w:szCs w:val="22"/>
                <w:highlight w:val="none"/>
                <w:lang w:val="en-US" w:eastAsia="zh-CN"/>
              </w:rPr>
              <w:t>93.70万元</w:t>
            </w:r>
          </w:p>
        </w:tc>
        <w:tc>
          <w:tcPr>
            <w:tcW w:w="774" w:type="pct"/>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cs="Arial"/>
                <w:color w:val="auto"/>
                <w:kern w:val="0"/>
                <w:sz w:val="22"/>
                <w:szCs w:val="22"/>
                <w:highlight w:val="none"/>
                <w:lang w:val="en-US" w:eastAsia="zh-CN"/>
              </w:rPr>
            </w:pPr>
            <w:r>
              <w:rPr>
                <w:rFonts w:hint="eastAsia" w:ascii="Times New Roman" w:hAnsi="Times New Roman" w:cs="Arial"/>
                <w:color w:val="auto"/>
                <w:kern w:val="0"/>
                <w:sz w:val="22"/>
                <w:szCs w:val="22"/>
                <w:highlight w:val="none"/>
                <w:lang w:val="en-US" w:eastAsia="zh-CN"/>
              </w:rPr>
              <w:t>630.17万元</w:t>
            </w:r>
          </w:p>
        </w:tc>
      </w:tr>
    </w:tbl>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3.支出控制</w:t>
      </w:r>
    </w:p>
    <w:tbl>
      <w:tblPr>
        <w:tblStyle w:val="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33"/>
        <w:gridCol w:w="1019"/>
        <w:gridCol w:w="1338"/>
        <w:gridCol w:w="3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320" w:type="dxa"/>
            <w:gridSpan w:val="5"/>
            <w:noWrap w:val="0"/>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kern w:val="0"/>
                <w:sz w:val="24"/>
                <w:szCs w:val="24"/>
                <w:highlight w:val="none"/>
              </w:rPr>
            </w:pPr>
            <w:r>
              <w:rPr>
                <w:rFonts w:hint="eastAsia" w:ascii="Times New Roman" w:hAnsi="Times New Roman" w:eastAsia="仿宋" w:cs="宋体"/>
                <w:b/>
                <w:bCs w:val="0"/>
                <w:color w:val="000000"/>
                <w:kern w:val="0"/>
                <w:sz w:val="22"/>
                <w:szCs w:val="28"/>
                <w:highlight w:val="none"/>
                <w:lang w:val="zh-CN" w:eastAsia="zh-CN" w:bidi="ar-SA"/>
              </w:rPr>
              <w:t>“办公费、印刷费、水费、电费、物业管理费、维修（护）费、培训费、会议费”8个科目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60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8个科目</w:t>
            </w:r>
          </w:p>
        </w:tc>
        <w:tc>
          <w:tcPr>
            <w:tcW w:w="1633"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年初预算数</w:t>
            </w:r>
          </w:p>
        </w:tc>
        <w:tc>
          <w:tcPr>
            <w:tcW w:w="101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决算数</w:t>
            </w:r>
          </w:p>
        </w:tc>
        <w:tc>
          <w:tcPr>
            <w:tcW w:w="1338"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偏差程度</w:t>
            </w:r>
          </w:p>
        </w:tc>
        <w:tc>
          <w:tcPr>
            <w:tcW w:w="372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60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办公费</w:t>
            </w:r>
          </w:p>
        </w:tc>
        <w:tc>
          <w:tcPr>
            <w:tcW w:w="1633"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16.49</w:t>
            </w:r>
          </w:p>
        </w:tc>
        <w:tc>
          <w:tcPr>
            <w:tcW w:w="101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20.18</w:t>
            </w:r>
          </w:p>
        </w:tc>
        <w:tc>
          <w:tcPr>
            <w:tcW w:w="1338"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122.38%</w:t>
            </w:r>
          </w:p>
        </w:tc>
        <w:tc>
          <w:tcPr>
            <w:tcW w:w="372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cs="Arial"/>
                <w:color w:val="auto"/>
                <w:kern w:val="0"/>
                <w:sz w:val="22"/>
                <w:szCs w:val="22"/>
                <w:highlight w:val="none"/>
                <w:lang w:val="en-US" w:eastAsia="zh-CN"/>
              </w:rPr>
            </w:pPr>
            <w:r>
              <w:rPr>
                <w:rFonts w:hint="eastAsia" w:cs="Arial"/>
                <w:color w:val="auto"/>
                <w:kern w:val="0"/>
                <w:sz w:val="22"/>
                <w:szCs w:val="22"/>
                <w:highlight w:val="none"/>
                <w:lang w:val="en-US" w:eastAsia="zh-CN"/>
              </w:rPr>
              <w:t>2022年初预算编制不准确。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印刷费</w:t>
            </w:r>
          </w:p>
        </w:tc>
        <w:tc>
          <w:tcPr>
            <w:tcW w:w="1633"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cs="Arial"/>
                <w:color w:val="auto"/>
                <w:kern w:val="0"/>
                <w:sz w:val="22"/>
                <w:szCs w:val="22"/>
                <w:highlight w:val="none"/>
                <w:lang w:val="en-US" w:eastAsia="zh-CN"/>
              </w:rPr>
            </w:pPr>
            <w:r>
              <w:rPr>
                <w:rFonts w:hint="eastAsia" w:cs="Arial"/>
                <w:color w:val="auto"/>
                <w:kern w:val="0"/>
                <w:sz w:val="22"/>
                <w:szCs w:val="22"/>
                <w:highlight w:val="none"/>
                <w:lang w:val="en-US" w:eastAsia="zh-CN"/>
              </w:rPr>
              <w:t>6.78</w:t>
            </w:r>
          </w:p>
        </w:tc>
        <w:tc>
          <w:tcPr>
            <w:tcW w:w="101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0</w:t>
            </w:r>
          </w:p>
        </w:tc>
        <w:tc>
          <w:tcPr>
            <w:tcW w:w="1338"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0.00%</w:t>
            </w:r>
          </w:p>
        </w:tc>
        <w:tc>
          <w:tcPr>
            <w:tcW w:w="372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2022年初预算编制不准确。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水费</w:t>
            </w:r>
          </w:p>
        </w:tc>
        <w:tc>
          <w:tcPr>
            <w:tcW w:w="1633"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0</w:t>
            </w:r>
          </w:p>
        </w:tc>
        <w:tc>
          <w:tcPr>
            <w:tcW w:w="101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0</w:t>
            </w:r>
          </w:p>
        </w:tc>
        <w:tc>
          <w:tcPr>
            <w:tcW w:w="1338"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0.00%</w:t>
            </w:r>
          </w:p>
        </w:tc>
        <w:tc>
          <w:tcPr>
            <w:tcW w:w="372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电费</w:t>
            </w:r>
          </w:p>
        </w:tc>
        <w:tc>
          <w:tcPr>
            <w:tcW w:w="1633"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0</w:t>
            </w:r>
          </w:p>
        </w:tc>
        <w:tc>
          <w:tcPr>
            <w:tcW w:w="101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1.40</w:t>
            </w:r>
          </w:p>
        </w:tc>
        <w:tc>
          <w:tcPr>
            <w:tcW w:w="1338"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100.00%</w:t>
            </w:r>
          </w:p>
        </w:tc>
        <w:tc>
          <w:tcPr>
            <w:tcW w:w="372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cs="Arial"/>
                <w:color w:val="auto"/>
                <w:kern w:val="0"/>
                <w:sz w:val="22"/>
                <w:szCs w:val="22"/>
                <w:highlight w:val="none"/>
                <w:lang w:val="en-US" w:eastAsia="zh-CN"/>
              </w:rPr>
            </w:pPr>
            <w:r>
              <w:rPr>
                <w:rFonts w:hint="eastAsia" w:cs="Arial"/>
                <w:color w:val="auto"/>
                <w:kern w:val="0"/>
                <w:sz w:val="22"/>
                <w:szCs w:val="22"/>
                <w:highlight w:val="none"/>
                <w:lang w:val="en-US" w:eastAsia="zh-CN"/>
              </w:rPr>
              <w:t>2022年初预算编制不准确。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物业管理费</w:t>
            </w:r>
          </w:p>
        </w:tc>
        <w:tc>
          <w:tcPr>
            <w:tcW w:w="1633"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12.00</w:t>
            </w:r>
          </w:p>
        </w:tc>
        <w:tc>
          <w:tcPr>
            <w:tcW w:w="101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17.49</w:t>
            </w:r>
          </w:p>
        </w:tc>
        <w:tc>
          <w:tcPr>
            <w:tcW w:w="1338"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145.75%</w:t>
            </w:r>
          </w:p>
        </w:tc>
        <w:tc>
          <w:tcPr>
            <w:tcW w:w="372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2022年初预算编制不准确。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维修（护）费</w:t>
            </w:r>
          </w:p>
        </w:tc>
        <w:tc>
          <w:tcPr>
            <w:tcW w:w="1633"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5.00</w:t>
            </w:r>
          </w:p>
        </w:tc>
        <w:tc>
          <w:tcPr>
            <w:tcW w:w="101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18.41</w:t>
            </w:r>
          </w:p>
        </w:tc>
        <w:tc>
          <w:tcPr>
            <w:tcW w:w="1338"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368.20%</w:t>
            </w:r>
          </w:p>
        </w:tc>
        <w:tc>
          <w:tcPr>
            <w:tcW w:w="372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2022年初预算编制不准确。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培训费</w:t>
            </w:r>
          </w:p>
        </w:tc>
        <w:tc>
          <w:tcPr>
            <w:tcW w:w="1633"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7.17</w:t>
            </w:r>
          </w:p>
        </w:tc>
        <w:tc>
          <w:tcPr>
            <w:tcW w:w="101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1.32</w:t>
            </w:r>
          </w:p>
        </w:tc>
        <w:tc>
          <w:tcPr>
            <w:tcW w:w="1338"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18.41%</w:t>
            </w:r>
          </w:p>
        </w:tc>
        <w:tc>
          <w:tcPr>
            <w:tcW w:w="372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2022年初预算编制不准确。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0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会议费</w:t>
            </w:r>
          </w:p>
        </w:tc>
        <w:tc>
          <w:tcPr>
            <w:tcW w:w="1633"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default" w:cs="Arial"/>
                <w:color w:val="auto"/>
                <w:kern w:val="0"/>
                <w:sz w:val="22"/>
                <w:szCs w:val="22"/>
                <w:highlight w:val="none"/>
                <w:lang w:val="en-US" w:eastAsia="zh-CN"/>
              </w:rPr>
              <w:t>7.00</w:t>
            </w:r>
          </w:p>
        </w:tc>
        <w:tc>
          <w:tcPr>
            <w:tcW w:w="101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default" w:cs="Arial"/>
                <w:color w:val="auto"/>
                <w:kern w:val="0"/>
                <w:sz w:val="22"/>
                <w:szCs w:val="22"/>
                <w:highlight w:val="none"/>
                <w:lang w:val="en-US" w:eastAsia="zh-CN"/>
              </w:rPr>
              <w:t>348.53</w:t>
            </w:r>
          </w:p>
        </w:tc>
        <w:tc>
          <w:tcPr>
            <w:tcW w:w="1338"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Arial"/>
                <w:color w:val="auto"/>
                <w:kern w:val="0"/>
                <w:sz w:val="22"/>
                <w:szCs w:val="22"/>
                <w:highlight w:val="none"/>
                <w:lang w:val="en-US" w:eastAsia="zh-CN"/>
              </w:rPr>
            </w:pPr>
            <w:r>
              <w:rPr>
                <w:rFonts w:hint="eastAsia" w:cs="Arial"/>
                <w:color w:val="auto"/>
                <w:kern w:val="0"/>
                <w:sz w:val="22"/>
                <w:szCs w:val="22"/>
                <w:highlight w:val="none"/>
                <w:lang w:val="en-US" w:eastAsia="zh-CN"/>
              </w:rPr>
              <w:t>4979.00%</w:t>
            </w:r>
          </w:p>
        </w:tc>
        <w:tc>
          <w:tcPr>
            <w:tcW w:w="3726"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Arial"/>
                <w:color w:val="auto"/>
                <w:kern w:val="0"/>
                <w:sz w:val="22"/>
                <w:szCs w:val="22"/>
                <w:highlight w:val="none"/>
                <w:lang w:val="en-US" w:eastAsia="zh-CN"/>
              </w:rPr>
            </w:pPr>
            <w:r>
              <w:rPr>
                <w:rFonts w:hint="eastAsia" w:cs="Arial"/>
                <w:color w:val="auto"/>
                <w:kern w:val="0"/>
                <w:sz w:val="22"/>
                <w:szCs w:val="22"/>
                <w:highlight w:val="none"/>
                <w:lang w:val="en-US" w:eastAsia="zh-CN"/>
              </w:rPr>
              <w:t>2022年初预算编制不准确，本年省级工业发展资金（锂电产业特色优势试点）项目中支出337.06万元会议费用。</w:t>
            </w:r>
          </w:p>
        </w:tc>
      </w:tr>
    </w:tbl>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4.及时处置</w:t>
      </w:r>
    </w:p>
    <w:p>
      <w:pPr>
        <w:keepNext w:val="0"/>
        <w:keepLines w:val="0"/>
        <w:widowControl/>
        <w:suppressLineNumbers w:val="0"/>
        <w:ind w:firstLine="640" w:firstLineChars="200"/>
        <w:jc w:val="left"/>
      </w:pPr>
      <w:r>
        <w:rPr>
          <w:rFonts w:ascii="仿宋_GB2312" w:hAnsi="仿宋_GB2312" w:eastAsia="仿宋_GB2312" w:cs="仿宋_GB2312"/>
          <w:i w:val="0"/>
          <w:caps w:val="0"/>
          <w:color w:val="000000"/>
          <w:spacing w:val="0"/>
          <w:kern w:val="0"/>
          <w:sz w:val="32"/>
          <w:szCs w:val="32"/>
          <w:shd w:val="clear" w:fill="FFFFFF"/>
          <w:lang w:val="en-US" w:eastAsia="zh-CN" w:bidi="ar"/>
        </w:rPr>
        <w:t>根据部门整体绩效目标制定情况，年底总结绩效完成情况，我单位的绩效完成情况良好</w:t>
      </w:r>
      <w:r>
        <w:rPr>
          <w:rFonts w:hint="eastAsia" w:ascii="仿宋_GB2312" w:hAnsi="仿宋_GB2312" w:cs="仿宋_GB2312"/>
          <w:i w:val="0"/>
          <w:caps w:val="0"/>
          <w:color w:val="000000"/>
          <w:spacing w:val="0"/>
          <w:kern w:val="0"/>
          <w:sz w:val="32"/>
          <w:szCs w:val="32"/>
          <w:shd w:val="clear" w:fill="FFFFFF"/>
          <w:lang w:val="en-US" w:eastAsia="zh-CN" w:bidi="ar"/>
        </w:rPr>
        <w:t>。</w:t>
      </w:r>
    </w:p>
    <w:p>
      <w:pPr>
        <w:pageBreakBefore w:val="0"/>
        <w:widowControl/>
        <w:kinsoku/>
        <w:wordWrap/>
        <w:overflowPunct/>
        <w:topLinePunct w:val="0"/>
        <w:autoSpaceDE/>
        <w:autoSpaceDN/>
        <w:bidi w:val="0"/>
        <w:adjustRightInd/>
        <w:snapToGrid/>
        <w:spacing w:line="560" w:lineRule="exact"/>
        <w:ind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5.执行进度</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根据本单位资金支付查询表计预算执行表分析出本单位6、9、11月支付进度分别达到37.06%、64.31%、87.47%，6、9月均未达到指标值</w:t>
      </w:r>
      <w:r>
        <w:rPr>
          <w:rFonts w:hint="eastAsia" w:ascii="Times New Roman" w:hAnsi="Times New Roman" w:eastAsia="仿宋_GB2312" w:cs="Times New Roman"/>
          <w:kern w:val="2"/>
          <w:sz w:val="32"/>
          <w:szCs w:val="24"/>
          <w:highlight w:val="none"/>
          <w:lang w:val="en-US" w:eastAsia="zh-CN" w:bidi="ar-SA"/>
        </w:rPr>
        <w:t>即实际支出进度分别达到40%、67.5%</w:t>
      </w:r>
      <w:r>
        <w:rPr>
          <w:rFonts w:hint="eastAsia" w:ascii="Times New Roman" w:hAnsi="Times New Roman" w:eastAsia="仿宋_GB2312" w:cs="Times New Roman"/>
          <w:kern w:val="2"/>
          <w:sz w:val="32"/>
          <w:szCs w:val="24"/>
          <w:highlight w:val="none"/>
          <w:lang w:val="zh-CN" w:eastAsia="zh-CN" w:bidi="ar-SA"/>
        </w:rPr>
        <w:t>，11月达到指标值</w:t>
      </w:r>
      <w:r>
        <w:rPr>
          <w:rFonts w:hint="eastAsia" w:ascii="Times New Roman" w:hAnsi="Times New Roman" w:eastAsia="仿宋_GB2312" w:cs="Times New Roman"/>
          <w:kern w:val="2"/>
          <w:sz w:val="32"/>
          <w:szCs w:val="24"/>
          <w:highlight w:val="none"/>
          <w:lang w:val="en-US" w:eastAsia="zh-CN" w:bidi="ar-SA"/>
        </w:rPr>
        <w:t>即82.5%</w:t>
      </w:r>
      <w:r>
        <w:rPr>
          <w:rFonts w:hint="eastAsia" w:ascii="Times New Roman" w:hAnsi="Times New Roman" w:eastAsia="仿宋_GB2312" w:cs="Times New Roman"/>
          <w:kern w:val="2"/>
          <w:sz w:val="32"/>
          <w:szCs w:val="24"/>
          <w:highlight w:val="none"/>
          <w:lang w:val="zh-CN" w:eastAsia="zh-CN" w:bidi="ar-SA"/>
        </w:rPr>
        <w:t>。</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6.预算完成情况</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根据本单位资金支付查询表计预算执行表分析出本单位部门预算12月预算执行进度达到100%。</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7.资金结余率（低效无效率）</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本单位2022年末无结转结余资金。</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zh-CN" w:eastAsia="zh-CN" w:bidi="ar-SA"/>
        </w:rPr>
        <w:t>8.违规记录</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Times New Roman" w:hAnsi="Times New Roman" w:eastAsia="仿宋_GB2312"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en-US" w:eastAsia="zh-CN" w:bidi="ar-SA"/>
        </w:rPr>
        <w:t>本单位2022年</w:t>
      </w:r>
      <w:r>
        <w:rPr>
          <w:rFonts w:hint="eastAsia" w:cs="Times New Roman"/>
          <w:kern w:val="2"/>
          <w:sz w:val="32"/>
          <w:szCs w:val="24"/>
          <w:highlight w:val="none"/>
          <w:lang w:val="en-US" w:eastAsia="zh-CN" w:bidi="ar-SA"/>
        </w:rPr>
        <w:t>无</w:t>
      </w:r>
      <w:r>
        <w:rPr>
          <w:rFonts w:hint="eastAsia" w:ascii="Times New Roman" w:hAnsi="Times New Roman" w:eastAsia="仿宋_GB2312" w:cs="Times New Roman"/>
          <w:kern w:val="2"/>
          <w:sz w:val="32"/>
          <w:szCs w:val="24"/>
          <w:highlight w:val="none"/>
          <w:lang w:val="en-US" w:eastAsia="zh-CN" w:bidi="ar-SA"/>
        </w:rPr>
        <w:t>违规记录。</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楷体_GB2312" w:hAnsi="楷体_GB2312" w:eastAsia="楷体_GB2312" w:cs="楷体_GB2312"/>
          <w:color w:val="auto"/>
          <w:kern w:val="0"/>
          <w:szCs w:val="32"/>
          <w:shd w:val="clear" w:color="auto" w:fill="FFFFFF"/>
          <w:lang w:val="zh-CN" w:eastAsia="zh-CN"/>
        </w:rPr>
      </w:pPr>
      <w:r>
        <w:rPr>
          <w:rFonts w:hint="eastAsia" w:ascii="楷体_GB2312" w:hAnsi="楷体_GB2312" w:eastAsia="楷体_GB2312" w:cs="楷体_GB2312"/>
          <w:color w:val="auto"/>
          <w:kern w:val="0"/>
          <w:szCs w:val="32"/>
          <w:shd w:val="clear" w:color="auto" w:fill="FFFFFF"/>
          <w:lang w:val="zh-CN" w:eastAsia="zh-CN"/>
        </w:rPr>
        <w:t>（二）结果应用情况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textAlignment w:val="auto"/>
        <w:rPr>
          <w:rFonts w:ascii="仿宋_GB2312" w:hAnsi="宋体" w:cs="宋体"/>
          <w:color w:val="000000"/>
          <w:kern w:val="0"/>
          <w:szCs w:val="32"/>
          <w:highlight w:val="none"/>
          <w:shd w:val="clear" w:color="auto" w:fill="FFFFFF"/>
          <w:lang w:val="zh-CN"/>
        </w:rPr>
      </w:pPr>
      <w:r>
        <w:rPr>
          <w:rFonts w:hint="eastAsia" w:ascii="仿宋_GB2312" w:hAnsi="宋体" w:cs="宋体"/>
          <w:color w:val="000000"/>
          <w:kern w:val="0"/>
          <w:szCs w:val="32"/>
          <w:highlight w:val="none"/>
          <w:shd w:val="clear" w:color="auto" w:fill="FFFFFF"/>
          <w:lang w:val="zh-CN"/>
        </w:rPr>
        <w:t>1.内部应用,通过绩效评价结果指导下年度预算编制工作，组织编制人员培训，增强预算编制数据的精准性，提高预算执行率。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textAlignment w:val="auto"/>
        <w:rPr>
          <w:rFonts w:hint="eastAsia" w:ascii="仿宋_GB2312" w:hAnsi="宋体" w:cs="宋体"/>
          <w:color w:val="000000"/>
          <w:kern w:val="0"/>
          <w:szCs w:val="32"/>
          <w:highlight w:val="none"/>
          <w:shd w:val="clear" w:color="auto" w:fill="FFFFFF"/>
          <w:lang w:val="zh-CN"/>
        </w:rPr>
      </w:pPr>
      <w:r>
        <w:rPr>
          <w:rFonts w:hint="eastAsia" w:ascii="仿宋_GB2312" w:hAnsi="宋体" w:cs="宋体"/>
          <w:color w:val="000000"/>
          <w:kern w:val="0"/>
          <w:szCs w:val="32"/>
          <w:highlight w:val="none"/>
          <w:shd w:val="clear" w:color="auto" w:fill="FFFFFF"/>
          <w:lang w:val="zh-CN"/>
        </w:rPr>
        <w:t>2.自评公开</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textAlignment w:val="auto"/>
        <w:rPr>
          <w:rFonts w:hint="eastAsia" w:ascii="仿宋_GB2312" w:hAnsi="宋体" w:cs="宋体"/>
          <w:color w:val="000000"/>
          <w:kern w:val="0"/>
          <w:szCs w:val="32"/>
          <w:highlight w:val="none"/>
          <w:shd w:val="clear" w:color="auto" w:fill="FFFFFF"/>
          <w:lang w:val="zh-CN"/>
        </w:rPr>
      </w:pPr>
      <w:r>
        <w:rPr>
          <w:rFonts w:hint="eastAsia" w:ascii="仿宋_GB2312" w:hAnsi="宋体" w:cs="宋体"/>
          <w:color w:val="000000"/>
          <w:kern w:val="0"/>
          <w:szCs w:val="32"/>
          <w:highlight w:val="none"/>
          <w:shd w:val="clear" w:color="auto" w:fill="FFFFFF"/>
          <w:lang w:val="zh-CN"/>
        </w:rPr>
        <w:t>信息公开及时。我局严格按照要求在市财政部门批复二十日后，根据市财政要求按时在市</w:t>
      </w:r>
      <w:r>
        <w:rPr>
          <w:rFonts w:hint="eastAsia" w:ascii="仿宋_GB2312" w:hAnsi="宋体" w:cs="宋体"/>
          <w:color w:val="000000"/>
          <w:kern w:val="0"/>
          <w:szCs w:val="32"/>
          <w:highlight w:val="none"/>
          <w:shd w:val="clear" w:color="auto" w:fill="FFFFFF"/>
          <w:lang w:val="en-US" w:eastAsia="zh-CN"/>
        </w:rPr>
        <w:t>政府网站</w:t>
      </w:r>
      <w:r>
        <w:rPr>
          <w:rFonts w:hint="eastAsia" w:ascii="仿宋_GB2312" w:hAnsi="宋体" w:cs="宋体"/>
          <w:color w:val="000000"/>
          <w:kern w:val="0"/>
          <w:szCs w:val="32"/>
          <w:highlight w:val="none"/>
          <w:shd w:val="clear" w:color="auto" w:fill="FFFFFF"/>
          <w:lang w:val="zh-CN"/>
        </w:rPr>
        <w:t>上公示本绩效目标情况。同时部门整体支出绩效自评报告及其他按要求应公开的绩效信息均已公开。</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textAlignment w:val="auto"/>
        <w:rPr>
          <w:rFonts w:hint="eastAsia" w:ascii="仿宋_GB2312" w:hAnsi="宋体" w:cs="宋体"/>
          <w:color w:val="000000"/>
          <w:kern w:val="0"/>
          <w:szCs w:val="32"/>
          <w:highlight w:val="none"/>
          <w:shd w:val="clear" w:color="auto" w:fill="FFFFFF"/>
          <w:lang w:val="zh-CN"/>
        </w:rPr>
      </w:pPr>
      <w:r>
        <w:rPr>
          <w:rFonts w:hint="eastAsia" w:ascii="仿宋_GB2312" w:hAnsi="宋体" w:cs="宋体"/>
          <w:color w:val="000000"/>
          <w:kern w:val="0"/>
          <w:szCs w:val="32"/>
          <w:highlight w:val="none"/>
          <w:shd w:val="clear" w:color="auto" w:fill="FFFFFF"/>
          <w:lang w:val="zh-CN"/>
        </w:rPr>
        <w:t>3</w:t>
      </w:r>
      <w:r>
        <w:rPr>
          <w:rFonts w:ascii="仿宋_GB2312" w:hAnsi="宋体" w:cs="宋体"/>
          <w:color w:val="000000"/>
          <w:kern w:val="0"/>
          <w:szCs w:val="32"/>
          <w:highlight w:val="none"/>
          <w:shd w:val="clear" w:color="auto" w:fill="FFFFFF"/>
          <w:lang w:val="zh-CN"/>
        </w:rPr>
        <w:t>.</w:t>
      </w:r>
      <w:r>
        <w:rPr>
          <w:rFonts w:hint="eastAsia" w:ascii="仿宋_GB2312" w:hAnsi="宋体" w:cs="宋体"/>
          <w:color w:val="000000"/>
          <w:kern w:val="0"/>
          <w:szCs w:val="32"/>
          <w:highlight w:val="none"/>
          <w:shd w:val="clear" w:color="auto" w:fill="FFFFFF"/>
          <w:lang w:val="zh-CN"/>
        </w:rPr>
        <w:t>问题整改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textAlignment w:val="auto"/>
        <w:rPr>
          <w:rFonts w:hint="eastAsia"/>
          <w:highlight w:val="none"/>
          <w:lang w:val="zh-CN"/>
        </w:rPr>
      </w:pPr>
      <w:r>
        <w:rPr>
          <w:rFonts w:hint="eastAsia"/>
          <w:highlight w:val="none"/>
          <w:lang w:val="en-US" w:eastAsia="zh-CN"/>
        </w:rPr>
        <w:t>本单位2022年无违规记录，无相关问题需整改。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textAlignment w:val="auto"/>
        <w:rPr>
          <w:rFonts w:hint="eastAsia" w:ascii="仿宋_GB2312" w:hAnsi="宋体" w:cs="宋体"/>
          <w:color w:val="000000"/>
          <w:kern w:val="0"/>
          <w:szCs w:val="32"/>
          <w:highlight w:val="none"/>
          <w:shd w:val="clear" w:color="auto" w:fill="FFFFFF"/>
          <w:lang w:val="zh-CN"/>
        </w:rPr>
      </w:pPr>
      <w:r>
        <w:rPr>
          <w:rFonts w:hint="eastAsia" w:ascii="仿宋_GB2312" w:hAnsi="宋体" w:cs="宋体"/>
          <w:color w:val="000000"/>
          <w:kern w:val="0"/>
          <w:szCs w:val="32"/>
          <w:highlight w:val="none"/>
          <w:shd w:val="clear" w:color="auto" w:fill="FFFFFF"/>
          <w:lang w:val="zh-CN"/>
        </w:rPr>
        <w:t>4</w:t>
      </w:r>
      <w:r>
        <w:rPr>
          <w:rFonts w:ascii="仿宋_GB2312" w:hAnsi="宋体" w:cs="宋体"/>
          <w:color w:val="000000"/>
          <w:kern w:val="0"/>
          <w:szCs w:val="32"/>
          <w:highlight w:val="none"/>
          <w:shd w:val="clear" w:color="auto" w:fill="FFFFFF"/>
          <w:lang w:val="zh-CN"/>
        </w:rPr>
        <w:t>.</w:t>
      </w:r>
      <w:r>
        <w:rPr>
          <w:rFonts w:hint="eastAsia" w:ascii="仿宋_GB2312" w:hAnsi="宋体" w:cs="宋体"/>
          <w:color w:val="000000"/>
          <w:kern w:val="0"/>
          <w:szCs w:val="32"/>
          <w:highlight w:val="none"/>
          <w:shd w:val="clear" w:color="auto" w:fill="FFFFFF"/>
          <w:lang w:val="zh-CN"/>
        </w:rPr>
        <w:t>应用反馈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textAlignment w:val="auto"/>
        <w:rPr>
          <w:rFonts w:hint="eastAsia"/>
          <w:highlight w:val="none"/>
          <w:lang w:val="zh-CN"/>
        </w:rPr>
      </w:pPr>
      <w:r>
        <w:rPr>
          <w:rFonts w:hint="eastAsia"/>
          <w:highlight w:val="none"/>
          <w:lang w:val="en-US" w:eastAsia="zh-CN"/>
        </w:rPr>
        <w:t>本单位2022年无违规记录，无相关</w:t>
      </w:r>
      <w:r>
        <w:rPr>
          <w:rFonts w:hint="eastAsia" w:ascii="仿宋_GB2312" w:hAnsi="宋体" w:cs="宋体"/>
          <w:color w:val="000000"/>
          <w:kern w:val="0"/>
          <w:szCs w:val="32"/>
          <w:highlight w:val="none"/>
          <w:shd w:val="clear" w:color="auto" w:fill="FFFFFF"/>
          <w:lang w:val="zh-CN"/>
        </w:rPr>
        <w:t>应用反馈</w:t>
      </w:r>
      <w:r>
        <w:rPr>
          <w:rFonts w:hint="eastAsia"/>
          <w:highlight w:val="none"/>
          <w:lang w:val="en-US" w:eastAsia="zh-CN"/>
        </w:rPr>
        <w:t>。</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eastAsia="黑体"/>
          <w:color w:val="000000"/>
          <w:kern w:val="0"/>
          <w:szCs w:val="32"/>
          <w:shd w:val="clear" w:color="auto" w:fill="FFFFFF"/>
        </w:rPr>
      </w:pPr>
      <w:r>
        <w:rPr>
          <w:rFonts w:eastAsia="黑体"/>
          <w:color w:val="000000"/>
          <w:kern w:val="0"/>
          <w:szCs w:val="32"/>
          <w:shd w:val="clear" w:color="auto" w:fill="FFFFFF"/>
        </w:rPr>
        <w:t>四、评价结论及建议</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楷体_GB2312" w:hAnsi="楷体_GB2312" w:eastAsia="楷体_GB2312" w:cs="楷体_GB2312"/>
          <w:color w:val="auto"/>
          <w:kern w:val="0"/>
          <w:szCs w:val="32"/>
          <w:shd w:val="clear" w:color="auto" w:fill="FFFFFF"/>
          <w:lang w:val="zh-CN" w:eastAsia="zh-CN"/>
        </w:rPr>
      </w:pPr>
      <w:r>
        <w:rPr>
          <w:rFonts w:hint="eastAsia" w:ascii="楷体_GB2312" w:hAnsi="楷体_GB2312" w:eastAsia="楷体_GB2312" w:cs="楷体_GB2312"/>
          <w:color w:val="auto"/>
          <w:kern w:val="0"/>
          <w:szCs w:val="32"/>
          <w:shd w:val="clear" w:color="auto" w:fill="FFFFFF"/>
          <w:lang w:val="zh-CN" w:eastAsia="zh-CN"/>
        </w:rPr>
        <w:t>（一）评价结论</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eastAsia="仿宋_GB2312" w:cs="宋体"/>
          <w:b w:val="0"/>
          <w:bCs w:val="0"/>
          <w:color w:val="000000"/>
          <w:kern w:val="0"/>
          <w:sz w:val="32"/>
          <w:szCs w:val="32"/>
          <w:highlight w:val="none"/>
          <w:shd w:val="clear" w:color="auto" w:fill="FFFFFF"/>
          <w:lang w:val="zh-CN" w:eastAsia="zh-CN" w:bidi="ar-SA"/>
        </w:rPr>
        <w:t>2022年，我</w:t>
      </w:r>
      <w:r>
        <w:rPr>
          <w:rFonts w:hint="eastAsia" w:ascii="仿宋_GB2312" w:hAnsi="宋体" w:cs="宋体"/>
          <w:b w:val="0"/>
          <w:bCs w:val="0"/>
          <w:color w:val="000000"/>
          <w:kern w:val="0"/>
          <w:sz w:val="32"/>
          <w:szCs w:val="32"/>
          <w:highlight w:val="none"/>
          <w:shd w:val="clear" w:color="auto" w:fill="FFFFFF"/>
          <w:lang w:val="zh-CN" w:eastAsia="zh-CN" w:bidi="ar-SA"/>
        </w:rPr>
        <w:t>局</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整体支出绩效自查自评结果良好，全年基本支出保证了部门的正常运转，项目支出保障了重点工作的开展，按照2023年度市级部门整体支出绩效评价指标体系对我</w:t>
      </w:r>
      <w:r>
        <w:rPr>
          <w:rFonts w:hint="eastAsia" w:ascii="仿宋_GB2312" w:hAnsi="宋体" w:cs="宋体"/>
          <w:b w:val="0"/>
          <w:bCs w:val="0"/>
          <w:color w:val="000000"/>
          <w:kern w:val="0"/>
          <w:sz w:val="32"/>
          <w:szCs w:val="32"/>
          <w:highlight w:val="none"/>
          <w:shd w:val="clear" w:color="auto" w:fill="FFFFFF"/>
          <w:lang w:val="zh-CN" w:eastAsia="zh-CN" w:bidi="ar-SA"/>
        </w:rPr>
        <w:t>局</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预算编制、预算执行、完成结果、信息公开、整改反馈等方面进行了自评，最终得分</w:t>
      </w:r>
      <w:r>
        <w:rPr>
          <w:rFonts w:hint="eastAsia" w:ascii="仿宋_GB2312" w:hAnsi="宋体" w:eastAsia="仿宋_GB2312" w:cs="宋体"/>
          <w:b w:val="0"/>
          <w:bCs w:val="0"/>
          <w:color w:val="FF0000"/>
          <w:kern w:val="0"/>
          <w:sz w:val="32"/>
          <w:szCs w:val="32"/>
          <w:highlight w:val="none"/>
          <w:shd w:val="clear" w:color="auto" w:fill="FFFFFF"/>
          <w:lang w:val="zh-CN" w:eastAsia="zh-CN" w:bidi="ar-SA"/>
        </w:rPr>
        <w:t>7</w:t>
      </w:r>
      <w:r>
        <w:rPr>
          <w:rFonts w:hint="eastAsia" w:ascii="仿宋_GB2312" w:hAnsi="宋体" w:cs="宋体"/>
          <w:b w:val="0"/>
          <w:bCs w:val="0"/>
          <w:color w:val="FF0000"/>
          <w:kern w:val="0"/>
          <w:sz w:val="32"/>
          <w:szCs w:val="32"/>
          <w:highlight w:val="none"/>
          <w:shd w:val="clear" w:color="auto" w:fill="FFFFFF"/>
          <w:lang w:val="en-US" w:eastAsia="zh-CN" w:bidi="ar-SA"/>
        </w:rPr>
        <w:t>3</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分（总分90分），评价结果为良。在上级主管部门的正确领导下，我</w:t>
      </w:r>
      <w:r>
        <w:rPr>
          <w:rFonts w:hint="eastAsia" w:ascii="仿宋_GB2312" w:hAnsi="宋体" w:cs="宋体"/>
          <w:b w:val="0"/>
          <w:bCs w:val="0"/>
          <w:color w:val="000000"/>
          <w:kern w:val="0"/>
          <w:sz w:val="32"/>
          <w:szCs w:val="32"/>
          <w:highlight w:val="none"/>
          <w:shd w:val="clear" w:color="auto" w:fill="FFFFFF"/>
          <w:lang w:val="zh-CN" w:eastAsia="zh-CN" w:bidi="ar-SA"/>
        </w:rPr>
        <w:t>局</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紧紧围绕年度目标任务，团结拼搏，锐意进取，扎实工作，圆满完成了各项工作和任务，积极为全市</w:t>
      </w:r>
      <w:r>
        <w:rPr>
          <w:rFonts w:hint="eastAsia" w:ascii="仿宋_GB2312" w:hAnsi="宋体" w:cs="宋体"/>
          <w:b w:val="0"/>
          <w:bCs w:val="0"/>
          <w:color w:val="000000"/>
          <w:kern w:val="0"/>
          <w:sz w:val="32"/>
          <w:szCs w:val="32"/>
          <w:highlight w:val="none"/>
          <w:shd w:val="clear" w:color="auto" w:fill="FFFFFF"/>
          <w:lang w:val="zh-CN" w:eastAsia="zh-CN" w:bidi="ar-SA"/>
        </w:rPr>
        <w:t>工业</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经济科学发展、绿色发展和高质量发展做出了应有的贡献。</w:t>
      </w:r>
    </w:p>
    <w:tbl>
      <w:tblPr>
        <w:tblStyle w:val="9"/>
        <w:tblW w:w="9438" w:type="dxa"/>
        <w:tblInd w:w="113" w:type="dxa"/>
        <w:tblLayout w:type="fixed"/>
        <w:tblCellMar>
          <w:top w:w="0" w:type="dxa"/>
          <w:left w:w="108" w:type="dxa"/>
          <w:bottom w:w="0" w:type="dxa"/>
          <w:right w:w="108" w:type="dxa"/>
        </w:tblCellMar>
      </w:tblPr>
      <w:tblGrid>
        <w:gridCol w:w="958"/>
        <w:gridCol w:w="1044"/>
        <w:gridCol w:w="1578"/>
        <w:gridCol w:w="667"/>
        <w:gridCol w:w="677"/>
        <w:gridCol w:w="4514"/>
      </w:tblGrid>
      <w:tr>
        <w:tblPrEx>
          <w:tblCellMar>
            <w:top w:w="0" w:type="dxa"/>
            <w:left w:w="108" w:type="dxa"/>
            <w:bottom w:w="0" w:type="dxa"/>
            <w:right w:w="108" w:type="dxa"/>
          </w:tblCellMar>
        </w:tblPrEx>
        <w:trPr>
          <w:trHeight w:val="652" w:hRule="atLeast"/>
        </w:trPr>
        <w:tc>
          <w:tcPr>
            <w:tcW w:w="35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绩效指标</w:t>
            </w:r>
          </w:p>
        </w:tc>
        <w:tc>
          <w:tcPr>
            <w:tcW w:w="66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指标分值</w:t>
            </w:r>
          </w:p>
        </w:tc>
        <w:tc>
          <w:tcPr>
            <w:tcW w:w="67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自评得分</w:t>
            </w:r>
          </w:p>
        </w:tc>
        <w:tc>
          <w:tcPr>
            <w:tcW w:w="451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扣分原因</w:t>
            </w:r>
          </w:p>
        </w:tc>
      </w:tr>
      <w:tr>
        <w:tblPrEx>
          <w:tblCellMar>
            <w:top w:w="0" w:type="dxa"/>
            <w:left w:w="108" w:type="dxa"/>
            <w:bottom w:w="0" w:type="dxa"/>
            <w:right w:w="108" w:type="dxa"/>
          </w:tblCellMar>
        </w:tblPrEx>
        <w:trPr>
          <w:trHeight w:val="910" w:hRule="atLeast"/>
        </w:trPr>
        <w:tc>
          <w:tcPr>
            <w:tcW w:w="95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一级</w:t>
            </w:r>
            <w:r>
              <w:rPr>
                <w:rFonts w:hint="eastAsia" w:eastAsia="仿宋" w:cs="宋体"/>
                <w:b/>
                <w:bCs w:val="0"/>
                <w:color w:val="000000"/>
                <w:kern w:val="0"/>
                <w:sz w:val="22"/>
                <w:szCs w:val="28"/>
                <w:highlight w:val="none"/>
                <w:lang w:val="en-US" w:eastAsia="zh-CN" w:bidi="ar-SA"/>
              </w:rPr>
              <w:t xml:space="preserve">  </w:t>
            </w:r>
            <w:r>
              <w:rPr>
                <w:rFonts w:hint="eastAsia" w:ascii="Times New Roman" w:hAnsi="Times New Roman" w:eastAsia="仿宋" w:cs="宋体"/>
                <w:b/>
                <w:bCs w:val="0"/>
                <w:color w:val="000000"/>
                <w:kern w:val="0"/>
                <w:sz w:val="22"/>
                <w:szCs w:val="28"/>
                <w:highlight w:val="none"/>
                <w:lang w:val="zh-CN" w:eastAsia="zh-CN" w:bidi="ar-SA"/>
              </w:rPr>
              <w:t>指标</w:t>
            </w:r>
          </w:p>
        </w:tc>
        <w:tc>
          <w:tcPr>
            <w:tcW w:w="10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二级</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指标</w:t>
            </w:r>
          </w:p>
        </w:tc>
        <w:tc>
          <w:tcPr>
            <w:tcW w:w="15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r>
              <w:rPr>
                <w:rFonts w:hint="eastAsia" w:ascii="Times New Roman" w:hAnsi="Times New Roman" w:eastAsia="仿宋" w:cs="宋体"/>
                <w:b/>
                <w:bCs w:val="0"/>
                <w:color w:val="000000"/>
                <w:kern w:val="0"/>
                <w:sz w:val="22"/>
                <w:szCs w:val="28"/>
                <w:highlight w:val="none"/>
                <w:lang w:val="zh-CN" w:eastAsia="zh-CN" w:bidi="ar-SA"/>
              </w:rPr>
              <w:t>三级</w:t>
            </w:r>
            <w:r>
              <w:rPr>
                <w:rFonts w:hint="eastAsia" w:eastAsia="仿宋" w:cs="宋体"/>
                <w:b/>
                <w:bCs w:val="0"/>
                <w:color w:val="000000"/>
                <w:kern w:val="0"/>
                <w:sz w:val="22"/>
                <w:szCs w:val="28"/>
                <w:highlight w:val="none"/>
                <w:lang w:val="en-US" w:eastAsia="zh-CN" w:bidi="ar-SA"/>
              </w:rPr>
              <w:t xml:space="preserve">   </w:t>
            </w:r>
            <w:r>
              <w:rPr>
                <w:rFonts w:hint="eastAsia" w:ascii="Times New Roman" w:hAnsi="Times New Roman" w:eastAsia="仿宋" w:cs="宋体"/>
                <w:b/>
                <w:bCs w:val="0"/>
                <w:color w:val="000000"/>
                <w:kern w:val="0"/>
                <w:sz w:val="22"/>
                <w:szCs w:val="28"/>
                <w:highlight w:val="none"/>
                <w:lang w:val="zh-CN" w:eastAsia="zh-CN" w:bidi="ar-SA"/>
              </w:rPr>
              <w:t>指标</w:t>
            </w:r>
          </w:p>
        </w:tc>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p>
        </w:tc>
        <w:tc>
          <w:tcPr>
            <w:tcW w:w="45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宋体"/>
                <w:b/>
                <w:bCs w:val="0"/>
                <w:color w:val="000000"/>
                <w:kern w:val="0"/>
                <w:sz w:val="22"/>
                <w:szCs w:val="28"/>
                <w:highlight w:val="none"/>
                <w:lang w:val="zh-CN" w:eastAsia="zh-CN" w:bidi="ar-SA"/>
              </w:rPr>
            </w:pPr>
          </w:p>
        </w:tc>
      </w:tr>
      <w:tr>
        <w:tblPrEx>
          <w:tblCellMar>
            <w:top w:w="0" w:type="dxa"/>
            <w:left w:w="108" w:type="dxa"/>
            <w:bottom w:w="0" w:type="dxa"/>
            <w:right w:w="108" w:type="dxa"/>
          </w:tblCellMar>
        </w:tblPrEx>
        <w:trPr>
          <w:trHeight w:val="1293" w:hRule="atLeast"/>
        </w:trPr>
        <w:tc>
          <w:tcPr>
            <w:tcW w:w="95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部门预算管理</w:t>
            </w:r>
          </w:p>
        </w:tc>
        <w:tc>
          <w:tcPr>
            <w:tcW w:w="104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预算执行</w:t>
            </w:r>
          </w:p>
        </w:tc>
        <w:tc>
          <w:tcPr>
            <w:tcW w:w="157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支出控制</w:t>
            </w:r>
          </w:p>
        </w:tc>
        <w:tc>
          <w:tcPr>
            <w:tcW w:w="66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67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0</w:t>
            </w:r>
          </w:p>
        </w:tc>
        <w:tc>
          <w:tcPr>
            <w:tcW w:w="451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00" w:firstLineChars="200"/>
              <w:jc w:val="left"/>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根据本单位预算批复中分析出该八个科目合计数为54.44万元，根据本单位决算报表中分析出该八个科目合计数为407.33万元，偏差度为（407.33-54.44）/54.44=648.22%，因此得0分。</w:t>
            </w:r>
          </w:p>
        </w:tc>
      </w:tr>
      <w:tr>
        <w:tblPrEx>
          <w:tblCellMar>
            <w:top w:w="0" w:type="dxa"/>
            <w:left w:w="108" w:type="dxa"/>
            <w:bottom w:w="0" w:type="dxa"/>
            <w:right w:w="108" w:type="dxa"/>
          </w:tblCellMar>
        </w:tblPrEx>
        <w:trPr>
          <w:trHeight w:val="983" w:hRule="atLeast"/>
        </w:trPr>
        <w:tc>
          <w:tcPr>
            <w:tcW w:w="95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部门预算管理</w:t>
            </w:r>
          </w:p>
        </w:tc>
        <w:tc>
          <w:tcPr>
            <w:tcW w:w="104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预算执行</w:t>
            </w:r>
          </w:p>
        </w:tc>
        <w:tc>
          <w:tcPr>
            <w:tcW w:w="157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执行进度</w:t>
            </w:r>
          </w:p>
        </w:tc>
        <w:tc>
          <w:tcPr>
            <w:tcW w:w="66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67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51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00" w:firstLineChars="200"/>
              <w:jc w:val="left"/>
              <w:textAlignment w:val="center"/>
              <w:rPr>
                <w:rFonts w:hint="eastAsia" w:ascii="仿宋_GB2312" w:hAnsi="仿宋_GB2312" w:eastAsia="仿宋_GB2312" w:cs="仿宋_GB2312"/>
                <w:i w:val="0"/>
                <w:iCs w:val="0"/>
                <w:color w:val="000000"/>
                <w:kern w:val="2"/>
                <w:sz w:val="20"/>
                <w:szCs w:val="20"/>
                <w:highlight w:val="none"/>
                <w:u w:val="none"/>
                <w:lang w:val="en-US" w:eastAsia="zh-CN"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根据本单位资金支付查询表计预算执行表分析出本单位6、9、11月支付进度分别达到37.06%、64.31%、87.47%，6、9月均未达到指标值，11月达到指标值，因此得3分。</w:t>
            </w:r>
          </w:p>
        </w:tc>
      </w:tr>
    </w:tbl>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eastAsia="仿宋_GB2312" w:cs="宋体"/>
          <w:b w:val="0"/>
          <w:bCs w:val="0"/>
          <w:color w:val="000000"/>
          <w:kern w:val="0"/>
          <w:sz w:val="32"/>
          <w:szCs w:val="32"/>
          <w:highlight w:val="none"/>
          <w:shd w:val="clear" w:color="auto" w:fill="FFFFFF"/>
          <w:lang w:val="zh-CN" w:eastAsia="zh-CN" w:bidi="ar-SA"/>
        </w:rPr>
        <w:t>1.预算编制方面</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eastAsia="仿宋_GB2312" w:cs="宋体"/>
          <w:b w:val="0"/>
          <w:bCs w:val="0"/>
          <w:color w:val="000000"/>
          <w:kern w:val="0"/>
          <w:sz w:val="32"/>
          <w:szCs w:val="32"/>
          <w:highlight w:val="none"/>
          <w:shd w:val="clear" w:color="auto" w:fill="FFFFFF"/>
          <w:lang w:val="zh-CN" w:eastAsia="zh-CN" w:bidi="ar-SA"/>
        </w:rPr>
        <w:t>我单位预算编制准确性有待提高。</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eastAsia="仿宋_GB2312" w:cs="宋体"/>
          <w:b w:val="0"/>
          <w:bCs w:val="0"/>
          <w:color w:val="000000"/>
          <w:kern w:val="0"/>
          <w:sz w:val="32"/>
          <w:szCs w:val="32"/>
          <w:highlight w:val="none"/>
          <w:shd w:val="clear" w:color="auto" w:fill="FFFFFF"/>
          <w:lang w:val="zh-CN" w:eastAsia="zh-CN" w:bidi="ar-SA"/>
        </w:rPr>
        <w:t>2.预算执行方面</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eastAsia="仿宋_GB2312" w:cs="宋体"/>
          <w:b w:val="0"/>
          <w:bCs w:val="0"/>
          <w:color w:val="000000"/>
          <w:kern w:val="0"/>
          <w:sz w:val="32"/>
          <w:szCs w:val="32"/>
          <w:highlight w:val="none"/>
          <w:shd w:val="clear" w:color="auto" w:fill="FFFFFF"/>
          <w:lang w:val="zh-CN" w:eastAsia="zh-CN" w:bidi="ar-SA"/>
        </w:rPr>
        <w:t>我单位在预算执行进度上存在滞后现象，对于支出控制的把控度不够。</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eastAsia="仿宋_GB2312" w:cs="宋体"/>
          <w:b w:val="0"/>
          <w:bCs w:val="0"/>
          <w:color w:val="000000"/>
          <w:kern w:val="0"/>
          <w:sz w:val="32"/>
          <w:szCs w:val="32"/>
          <w:highlight w:val="none"/>
          <w:shd w:val="clear" w:color="auto" w:fill="FFFFFF"/>
          <w:lang w:val="zh-CN" w:eastAsia="zh-CN" w:bidi="ar-SA"/>
        </w:rPr>
        <w:t>3.完成结果方面</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eastAsia="仿宋_GB2312" w:cs="宋体"/>
          <w:b w:val="0"/>
          <w:bCs w:val="0"/>
          <w:color w:val="000000"/>
          <w:kern w:val="0"/>
          <w:sz w:val="32"/>
          <w:szCs w:val="32"/>
          <w:highlight w:val="none"/>
          <w:shd w:val="clear" w:color="auto" w:fill="FFFFFF"/>
          <w:lang w:val="zh-CN" w:eastAsia="zh-CN" w:bidi="ar-SA"/>
        </w:rPr>
        <w:t>根据部门整体绩效目标制定情况，年底总结绩效完成情况，我单位的绩效完成情况良好。</w:t>
      </w:r>
    </w:p>
    <w:p>
      <w:pPr>
        <w:pageBreakBefore w:val="0"/>
        <w:widowControl/>
        <w:kinsoku/>
        <w:wordWrap/>
        <w:overflowPunct/>
        <w:topLinePunct w:val="0"/>
        <w:autoSpaceDE/>
        <w:autoSpaceDN/>
        <w:bidi w:val="0"/>
        <w:adjustRightInd/>
        <w:snapToGrid/>
        <w:spacing w:line="560" w:lineRule="exact"/>
        <w:ind w:left="0" w:leftChars="0" w:firstLine="640" w:firstLineChars="200"/>
        <w:contextualSpacing/>
        <w:jc w:val="left"/>
        <w:rPr>
          <w:rFonts w:hint="eastAsia" w:ascii="楷体_GB2312" w:hAnsi="楷体_GB2312" w:eastAsia="楷体_GB2312" w:cs="楷体_GB2312"/>
          <w:color w:val="auto"/>
          <w:kern w:val="0"/>
          <w:szCs w:val="32"/>
          <w:shd w:val="clear" w:color="auto" w:fill="FFFFFF"/>
          <w:lang w:val="zh-CN" w:eastAsia="zh-CN"/>
        </w:rPr>
      </w:pPr>
      <w:r>
        <w:rPr>
          <w:rFonts w:hint="eastAsia" w:ascii="楷体_GB2312" w:hAnsi="楷体_GB2312" w:eastAsia="楷体_GB2312" w:cs="楷体_GB2312"/>
          <w:color w:val="auto"/>
          <w:kern w:val="0"/>
          <w:szCs w:val="32"/>
          <w:shd w:val="clear" w:color="auto" w:fill="FFFFFF"/>
          <w:lang w:val="zh-CN" w:eastAsia="zh-CN"/>
        </w:rPr>
        <w:t>（三）改进建议</w:t>
      </w:r>
    </w:p>
    <w:p>
      <w:pPr>
        <w:keepNext w:val="0"/>
        <w:keepLines w:val="0"/>
        <w:widowControl/>
        <w:suppressLineNumbers w:val="0"/>
        <w:ind w:firstLine="640" w:firstLineChars="200"/>
        <w:jc w:val="left"/>
        <w:rPr>
          <w:rFonts w:hint="eastAsia"/>
          <w:lang w:val="zh-CN" w:eastAsia="zh-CN"/>
        </w:rPr>
      </w:pPr>
      <w:r>
        <w:rPr>
          <w:rFonts w:hint="eastAsia" w:ascii="仿宋_GB2312" w:hAnsi="宋体" w:cs="宋体"/>
          <w:b w:val="0"/>
          <w:bCs w:val="0"/>
          <w:color w:val="000000"/>
          <w:kern w:val="0"/>
          <w:sz w:val="32"/>
          <w:szCs w:val="32"/>
          <w:highlight w:val="none"/>
          <w:shd w:val="clear" w:color="auto" w:fill="FFFFFF"/>
          <w:lang w:val="en-US" w:eastAsia="zh-CN" w:bidi="ar-SA"/>
        </w:rPr>
        <w:t>1</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w:t>
      </w:r>
      <w:r>
        <w:rPr>
          <w:rFonts w:hint="eastAsia" w:ascii="仿宋_GB2312" w:hAnsi="宋体" w:cs="宋体"/>
          <w:b w:val="0"/>
          <w:bCs w:val="0"/>
          <w:color w:val="000000"/>
          <w:kern w:val="0"/>
          <w:sz w:val="32"/>
          <w:szCs w:val="32"/>
          <w:highlight w:val="none"/>
          <w:shd w:val="clear" w:color="auto" w:fill="FFFFFF"/>
          <w:lang w:val="zh-CN" w:eastAsia="zh-CN" w:bidi="ar-SA"/>
        </w:rPr>
        <w:t>加</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强预算编制</w:t>
      </w:r>
      <w:r>
        <w:rPr>
          <w:rFonts w:hint="eastAsia" w:ascii="仿宋_GB2312" w:hAnsi="宋体" w:cs="宋体"/>
          <w:b w:val="0"/>
          <w:bCs w:val="0"/>
          <w:color w:val="000000"/>
          <w:kern w:val="0"/>
          <w:sz w:val="32"/>
          <w:szCs w:val="32"/>
          <w:highlight w:val="none"/>
          <w:shd w:val="clear" w:color="auto" w:fill="FFFFFF"/>
          <w:lang w:val="zh-CN" w:eastAsia="zh-CN" w:bidi="ar-SA"/>
        </w:rPr>
        <w:t>，提高预算编制准确性。根据</w:t>
      </w:r>
      <w:r>
        <w:rPr>
          <w:rFonts w:hint="eastAsia" w:ascii="仿宋_GB2312" w:hAnsi="宋体" w:cs="宋体"/>
          <w:b w:val="0"/>
          <w:bCs w:val="0"/>
          <w:color w:val="000000"/>
          <w:kern w:val="0"/>
          <w:sz w:val="32"/>
          <w:szCs w:val="32"/>
          <w:highlight w:val="none"/>
          <w:shd w:val="clear" w:color="auto" w:fill="FFFFFF"/>
          <w:lang w:val="en-US" w:eastAsia="zh-CN" w:bidi="ar-SA"/>
        </w:rPr>
        <w:t>2022年决算情况和自评报告，我局预算编制不够准确，部分预算与金额与决算金额差距较大，要进一步结合决算情况和工作实际，做好预算培训和编制工作。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cs="宋体"/>
          <w:b w:val="0"/>
          <w:bCs w:val="0"/>
          <w:color w:val="000000"/>
          <w:kern w:val="0"/>
          <w:sz w:val="32"/>
          <w:szCs w:val="32"/>
          <w:highlight w:val="none"/>
          <w:shd w:val="clear" w:color="auto" w:fill="FFFFFF"/>
          <w:lang w:val="en-US" w:eastAsia="zh-CN" w:bidi="ar-SA"/>
        </w:rPr>
        <w:t>2</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.部门加强资金管理</w:t>
      </w:r>
      <w:r>
        <w:rPr>
          <w:rFonts w:hint="eastAsia" w:ascii="仿宋_GB2312" w:hAnsi="宋体" w:cs="宋体"/>
          <w:b w:val="0"/>
          <w:bCs w:val="0"/>
          <w:color w:val="000000"/>
          <w:kern w:val="0"/>
          <w:sz w:val="32"/>
          <w:szCs w:val="32"/>
          <w:highlight w:val="none"/>
          <w:shd w:val="clear" w:color="auto" w:fill="FFFFFF"/>
          <w:lang w:val="zh-CN" w:eastAsia="zh-CN" w:bidi="ar-SA"/>
        </w:rPr>
        <w:t>，</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对事前、事中进行控制，对支出进行合理把控，避免超预算、无预算开支的现象发生，积极开展年度中期评估，对下半年度资金做好计划，以提高资金使用效益</w:t>
      </w:r>
      <w:r>
        <w:rPr>
          <w:rFonts w:hint="eastAsia" w:ascii="仿宋_GB2312" w:hAnsi="宋体" w:cs="宋体"/>
          <w:b w:val="0"/>
          <w:bCs w:val="0"/>
          <w:color w:val="000000"/>
          <w:kern w:val="0"/>
          <w:sz w:val="32"/>
          <w:szCs w:val="32"/>
          <w:highlight w:val="none"/>
          <w:shd w:val="clear" w:color="auto" w:fill="FFFFFF"/>
          <w:lang w:val="zh-CN" w:eastAsia="zh-CN" w:bidi="ar-SA"/>
        </w:rPr>
        <w:t>和执行进度</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w:t>
      </w:r>
    </w:p>
    <w:p>
      <w:pPr>
        <w:pStyle w:val="2"/>
        <w:ind w:left="0" w:leftChars="0" w:firstLine="640" w:firstLineChars="200"/>
        <w:rPr>
          <w:rFonts w:hint="eastAsia" w:eastAsia="仿宋_GB2312"/>
          <w:lang w:val="en-US" w:eastAsia="zh-CN"/>
        </w:rPr>
      </w:pPr>
      <w:r>
        <w:rPr>
          <w:rFonts w:hint="eastAsia" w:ascii="仿宋_GB2312" w:hAnsi="宋体" w:eastAsia="仿宋_GB2312" w:cs="宋体"/>
          <w:b w:val="0"/>
          <w:bCs w:val="0"/>
          <w:color w:val="000000"/>
          <w:kern w:val="0"/>
          <w:sz w:val="32"/>
          <w:szCs w:val="32"/>
          <w:highlight w:val="none"/>
          <w:shd w:val="clear" w:color="auto" w:fill="FFFFFF"/>
          <w:lang w:val="en-US" w:eastAsia="zh-CN" w:bidi="ar-SA"/>
        </w:rPr>
        <w:t>3.提高</w:t>
      </w:r>
      <w:r>
        <w:rPr>
          <w:rFonts w:hint="eastAsia" w:ascii="仿宋_GB2312" w:hAnsi="仿宋_GB2312" w:eastAsia="仿宋_GB2312" w:cs="仿宋_GB2312"/>
          <w:b w:val="0"/>
          <w:bCs w:val="0"/>
          <w:highlight w:val="none"/>
          <w:shd w:val="clear" w:color="auto" w:fill="FFFFFF"/>
        </w:rPr>
        <w:t>项目绩效目标自评表</w:t>
      </w:r>
      <w:r>
        <w:rPr>
          <w:rFonts w:hint="eastAsia" w:ascii="仿宋_GB2312" w:hAnsi="仿宋_GB2312" w:eastAsia="仿宋_GB2312" w:cs="仿宋_GB2312"/>
          <w:b w:val="0"/>
          <w:bCs w:val="0"/>
          <w:highlight w:val="none"/>
          <w:shd w:val="clear" w:color="auto" w:fill="FFFFFF"/>
          <w:lang w:eastAsia="zh-CN"/>
        </w:rPr>
        <w:t>指标设置合理性。在设置总体目标时要细化指标对应，避免出现指标设置矛盾的情况；在设置</w:t>
      </w:r>
      <w:r>
        <w:rPr>
          <w:rFonts w:hint="eastAsia" w:ascii="Times New Roman" w:hAnsi="Times New Roman" w:eastAsia="仿宋_GB2312" w:cs="Times New Roman"/>
          <w:kern w:val="2"/>
          <w:sz w:val="32"/>
          <w:szCs w:val="24"/>
          <w:highlight w:val="none"/>
          <w:lang w:val="en-US" w:eastAsia="zh-CN" w:bidi="ar-SA"/>
        </w:rPr>
        <w:t>产出、效益</w:t>
      </w:r>
      <w:r>
        <w:rPr>
          <w:rFonts w:hint="eastAsia" w:eastAsia="仿宋_GB2312" w:cs="Times New Roman"/>
          <w:kern w:val="2"/>
          <w:sz w:val="32"/>
          <w:szCs w:val="24"/>
          <w:highlight w:val="none"/>
          <w:lang w:val="en-US" w:eastAsia="zh-CN" w:bidi="ar-SA"/>
        </w:rPr>
        <w:t>指标时，要结合工作实际合理设置量化指标，避免出现量化指标无法量化考评和超出实际设置指标的情况。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cs="宋体"/>
          <w:b w:val="0"/>
          <w:bCs w:val="0"/>
          <w:color w:val="000000"/>
          <w:kern w:val="0"/>
          <w:sz w:val="32"/>
          <w:szCs w:val="32"/>
          <w:highlight w:val="none"/>
          <w:shd w:val="clear" w:color="auto" w:fill="FFFFFF"/>
          <w:lang w:val="en-US" w:eastAsia="zh-CN" w:bidi="ar-SA"/>
        </w:rPr>
        <w:t>4</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.加强财务会计人员业务培训</w:t>
      </w:r>
      <w:r>
        <w:rPr>
          <w:rFonts w:hint="eastAsia" w:ascii="仿宋_GB2312" w:hAnsi="宋体" w:cs="宋体"/>
          <w:b w:val="0"/>
          <w:bCs w:val="0"/>
          <w:color w:val="000000"/>
          <w:kern w:val="0"/>
          <w:sz w:val="32"/>
          <w:szCs w:val="32"/>
          <w:highlight w:val="none"/>
          <w:shd w:val="clear" w:color="auto" w:fill="FFFFFF"/>
          <w:lang w:val="zh-CN" w:eastAsia="zh-CN" w:bidi="ar-SA"/>
        </w:rPr>
        <w:t>，</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提升业务质量，严格执行会计基础工作规范。及时准确地记录、反映单位经济活动，确保会计制度遵守执行。须按照统一的会计准则和制度的规定对原始凭证进行审核，对不真实、不合法的原始凭证有权不予接受，并向单位负责人报告；对记载不准确、不完整的原始凭证予以退回，并按照国家统一的会计制度的规定更正、补充。</w:t>
      </w:r>
    </w:p>
    <w:p>
      <w:pPr>
        <w:pStyle w:val="6"/>
        <w:pageBreakBefore w:val="0"/>
        <w:kinsoku/>
        <w:wordWrap/>
        <w:overflowPunct/>
        <w:topLinePunct w:val="0"/>
        <w:autoSpaceDE/>
        <w:autoSpaceDN/>
        <w:bidi w:val="0"/>
        <w:adjustRightInd/>
        <w:snapToGrid/>
        <w:spacing w:before="0" w:after="0" w:line="560" w:lineRule="exact"/>
        <w:ind w:left="0" w:leftChars="0" w:firstLine="640" w:firstLineChars="200"/>
        <w:jc w:val="left"/>
        <w:rPr>
          <w:rFonts w:hint="eastAsia" w:ascii="仿宋_GB2312" w:hAnsi="宋体" w:eastAsia="仿宋_GB2312" w:cs="宋体"/>
          <w:b w:val="0"/>
          <w:bCs w:val="0"/>
          <w:color w:val="000000"/>
          <w:kern w:val="0"/>
          <w:sz w:val="32"/>
          <w:szCs w:val="32"/>
          <w:highlight w:val="none"/>
          <w:shd w:val="clear" w:color="auto" w:fill="FFFFFF"/>
          <w:lang w:val="zh-CN" w:eastAsia="zh-CN" w:bidi="ar-SA"/>
        </w:rPr>
      </w:pPr>
      <w:r>
        <w:rPr>
          <w:rFonts w:hint="eastAsia" w:ascii="仿宋_GB2312" w:hAnsi="宋体" w:eastAsia="仿宋_GB2312" w:cs="宋体"/>
          <w:b w:val="0"/>
          <w:bCs w:val="0"/>
          <w:color w:val="000000"/>
          <w:kern w:val="0"/>
          <w:sz w:val="32"/>
          <w:szCs w:val="32"/>
          <w:highlight w:val="none"/>
          <w:shd w:val="clear" w:color="auto" w:fill="FFFFFF"/>
          <w:lang w:val="en-US" w:eastAsia="zh-CN" w:bidi="ar-SA"/>
        </w:rPr>
        <w:t>5.</w:t>
      </w:r>
      <w:r>
        <w:rPr>
          <w:rFonts w:hint="eastAsia" w:ascii="仿宋_GB2312" w:hAnsi="宋体" w:eastAsia="仿宋_GB2312" w:cs="宋体"/>
          <w:b w:val="0"/>
          <w:bCs w:val="0"/>
          <w:color w:val="000000"/>
          <w:kern w:val="0"/>
          <w:sz w:val="32"/>
          <w:szCs w:val="32"/>
          <w:highlight w:val="none"/>
          <w:shd w:val="clear" w:color="auto" w:fill="FFFFFF"/>
          <w:lang w:val="zh-CN" w:eastAsia="zh-CN" w:bidi="ar-SA"/>
        </w:rPr>
        <w:t>加强完善内部控制体系，加强财政专项资金的监管工作，做到财政资金流程合规、使用透明、拨付及时，均衡支出。</w:t>
      </w:r>
    </w:p>
    <w:p>
      <w:pPr>
        <w:pStyle w:val="4"/>
        <w:pageBreakBefore w:val="0"/>
        <w:kinsoku/>
        <w:wordWrap/>
        <w:overflowPunct/>
        <w:topLinePunct w:val="0"/>
        <w:autoSpaceDE/>
        <w:autoSpaceDN/>
        <w:bidi w:val="0"/>
        <w:adjustRightInd/>
        <w:snapToGrid/>
        <w:spacing w:before="0" w:after="0" w:line="560" w:lineRule="exact"/>
        <w:ind w:left="0" w:leftChars="0" w:firstLine="640" w:firstLineChars="200"/>
        <w:rPr>
          <w:rFonts w:hint="eastAsia" w:ascii="仿宋_GB2312" w:hAnsi="宋体" w:eastAsia="仿宋_GB2312" w:cs="宋体"/>
          <w:b w:val="0"/>
          <w:bCs w:val="0"/>
          <w:color w:val="000000"/>
          <w:kern w:val="0"/>
          <w:sz w:val="32"/>
          <w:szCs w:val="32"/>
          <w:highlight w:val="none"/>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仿宋_GB2312" w:hAnsi="仿宋_GB2312" w:eastAsia="仿宋_GB2312" w:cs="仿宋_GB2312"/>
          <w:b w:val="0"/>
          <w:bCs w:val="0"/>
          <w:highlight w:val="none"/>
          <w:shd w:val="clear" w:color="auto" w:fill="FFFFFF"/>
          <w:lang w:val="zh-CN"/>
        </w:rPr>
      </w:pPr>
      <w:r>
        <w:rPr>
          <w:rFonts w:hint="eastAsia" w:ascii="仿宋_GB2312" w:hAnsi="仿宋_GB2312" w:eastAsia="仿宋_GB2312" w:cs="仿宋_GB2312"/>
          <w:b w:val="0"/>
          <w:bCs w:val="0"/>
          <w:highlight w:val="none"/>
          <w:shd w:val="clear" w:color="auto" w:fill="FFFFFF"/>
          <w:lang w:val="zh-CN"/>
        </w:rPr>
        <w:t>附</w:t>
      </w:r>
      <w:r>
        <w:rPr>
          <w:rFonts w:hint="eastAsia" w:ascii="仿宋_GB2312" w:hAnsi="仿宋_GB2312" w:eastAsia="仿宋_GB2312" w:cs="仿宋_GB2312"/>
          <w:b w:val="0"/>
          <w:bCs w:val="0"/>
          <w:highlight w:val="none"/>
          <w:shd w:val="clear" w:color="auto" w:fill="FFFFFF"/>
          <w:lang w:val="en-US" w:eastAsia="zh-CN"/>
        </w:rPr>
        <w:t>件</w:t>
      </w:r>
      <w:r>
        <w:rPr>
          <w:rFonts w:hint="eastAsia" w:ascii="仿宋_GB2312" w:hAnsi="仿宋_GB2312" w:eastAsia="仿宋_GB2312" w:cs="仿宋_GB2312"/>
          <w:b w:val="0"/>
          <w:bCs w:val="0"/>
          <w:highlight w:val="none"/>
          <w:shd w:val="clear" w:color="auto" w:fill="FFFFFF"/>
          <w:lang w:val="zh-CN"/>
        </w:rPr>
        <w:t>：</w:t>
      </w:r>
      <w:r>
        <w:rPr>
          <w:rFonts w:hint="eastAsia" w:ascii="仿宋_GB2312" w:hAnsi="仿宋_GB2312" w:eastAsia="仿宋_GB2312" w:cs="仿宋_GB2312"/>
          <w:b w:val="0"/>
          <w:bCs w:val="0"/>
          <w:highlight w:val="none"/>
          <w:shd w:val="clear" w:color="auto" w:fill="FFFFFF"/>
        </w:rPr>
        <w:t>1</w:t>
      </w:r>
      <w:r>
        <w:rPr>
          <w:rFonts w:hint="eastAsia" w:ascii="仿宋_GB2312" w:hAnsi="仿宋_GB2312" w:eastAsia="仿宋_GB2312" w:cs="仿宋_GB2312"/>
          <w:b w:val="0"/>
          <w:bCs w:val="0"/>
          <w:color w:val="000000"/>
          <w:kern w:val="0"/>
          <w:szCs w:val="32"/>
          <w:highlight w:val="none"/>
          <w:shd w:val="clear" w:color="auto" w:fill="FFFFFF"/>
          <w:lang w:val="en-US" w:eastAsia="zh-CN"/>
        </w:rPr>
        <w:t>.2022年</w:t>
      </w:r>
      <w:r>
        <w:rPr>
          <w:rFonts w:hint="eastAsia" w:ascii="仿宋_GB2312" w:hAnsi="仿宋_GB2312" w:eastAsia="仿宋_GB2312" w:cs="仿宋_GB2312"/>
          <w:b w:val="0"/>
          <w:bCs w:val="0"/>
          <w:highlight w:val="none"/>
          <w:shd w:val="clear" w:color="auto" w:fill="FFFFFF"/>
          <w:lang w:val="zh-CN"/>
        </w:rPr>
        <w:t>部门整体支出绩效自评表</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1600" w:firstLineChars="500"/>
        <w:jc w:val="both"/>
        <w:textAlignment w:val="auto"/>
        <w:rPr>
          <w:rFonts w:hint="eastAsia" w:ascii="仿宋_GB2312" w:hAnsi="仿宋_GB2312" w:eastAsia="仿宋_GB2312" w:cs="仿宋_GB2312"/>
          <w:b w:val="0"/>
          <w:bCs w:val="0"/>
          <w:highlight w:val="none"/>
          <w:shd w:val="clear" w:color="auto" w:fill="FFFFFF"/>
        </w:rPr>
      </w:pPr>
      <w:r>
        <w:rPr>
          <w:rFonts w:hint="eastAsia" w:ascii="仿宋_GB2312" w:hAnsi="仿宋_GB2312" w:eastAsia="仿宋_GB2312" w:cs="仿宋_GB2312"/>
          <w:b w:val="0"/>
          <w:bCs w:val="0"/>
          <w:color w:val="000000"/>
          <w:szCs w:val="32"/>
          <w:highlight w:val="none"/>
          <w:lang w:val="en-US" w:eastAsia="zh-CN"/>
        </w:rPr>
        <w:t>2.经济运行工作经费</w:t>
      </w:r>
      <w:r>
        <w:rPr>
          <w:rFonts w:hint="eastAsia" w:ascii="仿宋_GB2312" w:hAnsi="仿宋_GB2312" w:eastAsia="仿宋_GB2312" w:cs="仿宋_GB2312"/>
          <w:b w:val="0"/>
          <w:bCs w:val="0"/>
          <w:highlight w:val="none"/>
          <w:shd w:val="clear" w:color="auto" w:fill="FFFFFF"/>
        </w:rPr>
        <w:t>项目绩效目标自评表</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1600" w:firstLineChars="500"/>
        <w:jc w:val="both"/>
        <w:textAlignment w:val="auto"/>
        <w:rPr>
          <w:rFonts w:hint="eastAsia" w:ascii="仿宋_GB2312" w:hAnsi="仿宋_GB2312" w:eastAsia="仿宋_GB2312" w:cs="仿宋_GB2312"/>
          <w:b w:val="0"/>
          <w:bCs w:val="0"/>
          <w:highlight w:val="none"/>
          <w:shd w:val="clear" w:color="auto" w:fill="FFFFFF"/>
        </w:rPr>
      </w:pPr>
      <w:r>
        <w:rPr>
          <w:rFonts w:hint="eastAsia" w:ascii="仿宋_GB2312" w:hAnsi="仿宋_GB2312" w:eastAsia="仿宋_GB2312" w:cs="仿宋_GB2312"/>
          <w:b w:val="0"/>
          <w:bCs w:val="0"/>
          <w:color w:val="000000"/>
          <w:szCs w:val="32"/>
          <w:highlight w:val="none"/>
          <w:lang w:val="en-US" w:eastAsia="zh-CN"/>
        </w:rPr>
        <w:t>3.</w:t>
      </w:r>
      <w:r>
        <w:rPr>
          <w:rFonts w:hint="eastAsia" w:ascii="仿宋_GB2312" w:hAnsi="仿宋_GB2312" w:eastAsia="仿宋_GB2312" w:cs="仿宋_GB2312"/>
          <w:b w:val="0"/>
          <w:bCs w:val="0"/>
          <w:sz w:val="32"/>
          <w:szCs w:val="32"/>
          <w:highlight w:val="none"/>
          <w:lang w:eastAsia="zh-CN"/>
        </w:rPr>
        <w:t>3+3+3产业经费</w:t>
      </w:r>
      <w:r>
        <w:rPr>
          <w:rFonts w:hint="eastAsia" w:ascii="仿宋_GB2312" w:hAnsi="仿宋_GB2312" w:eastAsia="仿宋_GB2312" w:cs="仿宋_GB2312"/>
          <w:b w:val="0"/>
          <w:bCs w:val="0"/>
          <w:highlight w:val="none"/>
          <w:shd w:val="clear" w:color="auto" w:fill="FFFFFF"/>
        </w:rPr>
        <w:t>项目绩效目标自评表</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1920" w:leftChars="500" w:hanging="320" w:hangingChars="100"/>
        <w:jc w:val="both"/>
        <w:textAlignment w:val="auto"/>
        <w:rPr>
          <w:rFonts w:hint="eastAsia" w:ascii="仿宋_GB2312" w:hAnsi="仿宋_GB2312" w:eastAsia="仿宋_GB2312" w:cs="仿宋_GB2312"/>
          <w:b w:val="0"/>
          <w:bCs w:val="0"/>
          <w:highlight w:val="none"/>
          <w:shd w:val="clear" w:color="auto" w:fill="FFFFFF"/>
        </w:rPr>
      </w:pPr>
      <w:r>
        <w:rPr>
          <w:rFonts w:hint="eastAsia" w:ascii="仿宋_GB2312" w:hAnsi="仿宋_GB2312" w:eastAsia="仿宋_GB2312" w:cs="仿宋_GB2312"/>
          <w:b w:val="0"/>
          <w:bCs w:val="0"/>
          <w:color w:val="000000"/>
          <w:szCs w:val="32"/>
          <w:highlight w:val="none"/>
          <w:lang w:val="en-US" w:eastAsia="zh-CN"/>
        </w:rPr>
        <w:t>4.</w:t>
      </w:r>
      <w:r>
        <w:rPr>
          <w:rFonts w:hint="eastAsia" w:ascii="仿宋_GB2312" w:hAnsi="仿宋_GB2312" w:eastAsia="仿宋_GB2312" w:cs="仿宋_GB2312"/>
          <w:b w:val="0"/>
          <w:bCs w:val="0"/>
          <w:color w:val="000000"/>
          <w:sz w:val="32"/>
          <w:szCs w:val="32"/>
          <w:highlight w:val="none"/>
          <w:lang w:eastAsia="zh-CN"/>
        </w:rPr>
        <w:t>民营经济和中小企业工作经费</w:t>
      </w:r>
      <w:r>
        <w:rPr>
          <w:rFonts w:hint="eastAsia" w:ascii="仿宋_GB2312" w:hAnsi="仿宋_GB2312" w:eastAsia="仿宋_GB2312" w:cs="仿宋_GB2312"/>
          <w:b w:val="0"/>
          <w:bCs w:val="0"/>
          <w:highlight w:val="none"/>
          <w:shd w:val="clear" w:color="auto" w:fill="FFFFFF"/>
        </w:rPr>
        <w:t>项目绩效目标自评表</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1600" w:firstLineChars="500"/>
        <w:jc w:val="both"/>
        <w:textAlignment w:val="auto"/>
        <w:rPr>
          <w:rFonts w:hint="eastAsia" w:ascii="仿宋_GB2312" w:hAnsi="仿宋_GB2312" w:eastAsia="仿宋_GB2312" w:cs="仿宋_GB2312"/>
          <w:b w:val="0"/>
          <w:bCs w:val="0"/>
          <w:highlight w:val="none"/>
          <w:shd w:val="clear" w:color="auto" w:fill="FFFFFF"/>
        </w:rPr>
      </w:pPr>
      <w:r>
        <w:rPr>
          <w:rFonts w:hint="eastAsia" w:ascii="仿宋_GB2312" w:hAnsi="仿宋_GB2312" w:eastAsia="仿宋_GB2312" w:cs="仿宋_GB2312"/>
          <w:b w:val="0"/>
          <w:bCs w:val="0"/>
          <w:color w:val="000000"/>
          <w:szCs w:val="32"/>
          <w:highlight w:val="none"/>
          <w:lang w:val="en-US" w:eastAsia="zh-CN"/>
        </w:rPr>
        <w:t>5.</w:t>
      </w:r>
      <w:r>
        <w:rPr>
          <w:rFonts w:hint="eastAsia" w:ascii="仿宋_GB2312" w:hAnsi="仿宋_GB2312" w:eastAsia="仿宋_GB2312" w:cs="仿宋_GB2312"/>
          <w:b w:val="0"/>
          <w:bCs w:val="0"/>
          <w:color w:val="000000"/>
          <w:sz w:val="32"/>
          <w:szCs w:val="32"/>
          <w:highlight w:val="none"/>
          <w:lang w:val="en-US" w:eastAsia="zh-CN"/>
        </w:rPr>
        <w:t>设备购置费</w:t>
      </w:r>
      <w:r>
        <w:rPr>
          <w:rFonts w:hint="eastAsia" w:ascii="仿宋_GB2312" w:hAnsi="仿宋_GB2312" w:eastAsia="仿宋_GB2312" w:cs="仿宋_GB2312"/>
          <w:b w:val="0"/>
          <w:bCs w:val="0"/>
          <w:highlight w:val="none"/>
          <w:shd w:val="clear" w:color="auto" w:fill="FFFFFF"/>
        </w:rPr>
        <w:t>项目绩效目标自评表</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1920" w:leftChars="500" w:hanging="320" w:hangingChars="100"/>
        <w:jc w:val="both"/>
        <w:textAlignment w:val="auto"/>
        <w:rPr>
          <w:rFonts w:hint="eastAsia" w:ascii="仿宋_GB2312" w:hAnsi="仿宋_GB2312" w:eastAsia="仿宋_GB2312" w:cs="仿宋_GB2312"/>
          <w:b w:val="0"/>
          <w:bCs w:val="0"/>
          <w:highlight w:val="none"/>
          <w:shd w:val="clear" w:color="auto" w:fill="FFFFFF"/>
        </w:rPr>
      </w:pPr>
      <w:r>
        <w:rPr>
          <w:rFonts w:hint="eastAsia" w:ascii="仿宋_GB2312" w:hAnsi="仿宋_GB2312" w:eastAsia="仿宋_GB2312" w:cs="仿宋_GB2312"/>
          <w:b w:val="0"/>
          <w:bCs w:val="0"/>
          <w:color w:val="000000"/>
          <w:szCs w:val="32"/>
          <w:highlight w:val="none"/>
          <w:lang w:val="en-US" w:eastAsia="zh-CN"/>
        </w:rPr>
        <w:t>6.</w:t>
      </w:r>
      <w:r>
        <w:rPr>
          <w:rFonts w:hint="eastAsia" w:ascii="仿宋_GB2312" w:hAnsi="仿宋_GB2312" w:eastAsia="仿宋_GB2312" w:cs="仿宋_GB2312"/>
          <w:b w:val="0"/>
          <w:bCs w:val="0"/>
          <w:color w:val="000000"/>
          <w:sz w:val="32"/>
          <w:szCs w:val="32"/>
          <w:highlight w:val="none"/>
          <w:lang w:val="en-US" w:eastAsia="zh-CN"/>
        </w:rPr>
        <w:t>第一批省级工业发展资金“红榜”激励和技改前期经费</w:t>
      </w:r>
      <w:r>
        <w:rPr>
          <w:rFonts w:hint="eastAsia" w:ascii="仿宋_GB2312" w:hAnsi="仿宋_GB2312" w:eastAsia="仿宋_GB2312" w:cs="仿宋_GB2312"/>
          <w:b w:val="0"/>
          <w:bCs w:val="0"/>
          <w:highlight w:val="none"/>
          <w:shd w:val="clear" w:color="auto" w:fill="FFFFFF"/>
        </w:rPr>
        <w:t>项目绩效目标自评表</w:t>
      </w:r>
    </w:p>
    <w:p>
      <w:pPr>
        <w:pStyle w:val="2"/>
        <w:pageBreakBefore w:val="0"/>
        <w:kinsoku/>
        <w:wordWrap/>
        <w:overflowPunct/>
        <w:topLinePunct w:val="0"/>
        <w:autoSpaceDE/>
        <w:autoSpaceDN/>
        <w:bidi w:val="0"/>
        <w:adjustRightInd/>
        <w:snapToGrid/>
        <w:spacing w:line="560" w:lineRule="exact"/>
        <w:ind w:left="2240" w:leftChars="500" w:hanging="640" w:hangingChars="200"/>
        <w:rPr>
          <w:rFonts w:hint="eastAsia" w:ascii="仿宋_GB2312" w:hAnsi="仿宋_GB2312" w:eastAsia="仿宋_GB2312" w:cs="仿宋_GB2312"/>
          <w:b w:val="0"/>
          <w:bCs w:val="0"/>
          <w:highlight w:val="none"/>
          <w:shd w:val="clear" w:color="auto" w:fill="FFFFFF"/>
        </w:rPr>
      </w:pPr>
      <w:r>
        <w:rPr>
          <w:rFonts w:hint="eastAsia" w:ascii="仿宋_GB2312" w:hAnsi="仿宋_GB2312" w:eastAsia="仿宋_GB2312" w:cs="仿宋_GB2312"/>
          <w:b w:val="0"/>
          <w:bCs w:val="0"/>
          <w:color w:val="000000"/>
          <w:szCs w:val="32"/>
          <w:highlight w:val="none"/>
          <w:lang w:val="en-US" w:eastAsia="zh-CN"/>
        </w:rPr>
        <w:t>7.省级工业发展资金（锂电产业特色优势试点）</w:t>
      </w:r>
      <w:r>
        <w:rPr>
          <w:rFonts w:hint="eastAsia" w:ascii="仿宋_GB2312" w:hAnsi="仿宋_GB2312" w:eastAsia="仿宋_GB2312" w:cs="仿宋_GB2312"/>
          <w:b w:val="0"/>
          <w:bCs w:val="0"/>
          <w:highlight w:val="none"/>
          <w:shd w:val="clear" w:color="auto" w:fill="FFFFFF"/>
        </w:rPr>
        <w:t>项目</w:t>
      </w:r>
    </w:p>
    <w:p>
      <w:pPr>
        <w:pStyle w:val="2"/>
        <w:pageBreakBefore w:val="0"/>
        <w:kinsoku/>
        <w:wordWrap/>
        <w:overflowPunct/>
        <w:topLinePunct w:val="0"/>
        <w:autoSpaceDE/>
        <w:autoSpaceDN/>
        <w:bidi w:val="0"/>
        <w:adjustRightInd/>
        <w:snapToGrid/>
        <w:spacing w:line="560" w:lineRule="exact"/>
        <w:ind w:left="2240" w:leftChars="600" w:hanging="320" w:hangingChars="100"/>
        <w:rPr>
          <w:rFonts w:hint="eastAsia" w:ascii="仿宋_GB2312" w:hAnsi="仿宋_GB2312" w:eastAsia="仿宋_GB2312" w:cs="仿宋_GB2312"/>
          <w:b w:val="0"/>
          <w:bCs w:val="0"/>
          <w:highlight w:val="none"/>
          <w:shd w:val="clear" w:color="auto" w:fill="FFFFFF"/>
        </w:rPr>
      </w:pPr>
      <w:r>
        <w:rPr>
          <w:rFonts w:hint="eastAsia" w:ascii="仿宋_GB2312" w:hAnsi="仿宋_GB2312" w:eastAsia="仿宋_GB2312" w:cs="仿宋_GB2312"/>
          <w:b w:val="0"/>
          <w:bCs w:val="0"/>
          <w:highlight w:val="none"/>
          <w:shd w:val="clear" w:color="auto" w:fill="FFFFFF"/>
        </w:rPr>
        <w:t>绩效目标自评表</w:t>
      </w:r>
    </w:p>
    <w:p>
      <w:pPr>
        <w:pStyle w:val="2"/>
        <w:pageBreakBefore w:val="0"/>
        <w:kinsoku/>
        <w:wordWrap/>
        <w:overflowPunct/>
        <w:topLinePunct w:val="0"/>
        <w:autoSpaceDE/>
        <w:autoSpaceDN/>
        <w:bidi w:val="0"/>
        <w:adjustRightInd/>
        <w:snapToGrid/>
        <w:spacing w:line="560" w:lineRule="exact"/>
        <w:ind w:left="2240" w:leftChars="700" w:firstLine="320" w:firstLineChars="100"/>
        <w:rPr>
          <w:rFonts w:hint="eastAsia" w:ascii="仿宋_GB2312" w:hAnsi="仿宋_GB2312" w:eastAsia="仿宋_GB2312" w:cs="仿宋_GB2312"/>
          <w:b w:val="0"/>
          <w:bCs w:val="0"/>
          <w:highlight w:val="none"/>
          <w:shd w:val="clear" w:color="auto" w:fill="FFFFFF"/>
          <w:lang w:eastAsia="zh-CN"/>
        </w:rPr>
      </w:pPr>
    </w:p>
    <w:p>
      <w:pPr>
        <w:pStyle w:val="2"/>
        <w:pageBreakBefore w:val="0"/>
        <w:kinsoku/>
        <w:wordWrap/>
        <w:overflowPunct/>
        <w:topLinePunct w:val="0"/>
        <w:autoSpaceDE/>
        <w:autoSpaceDN/>
        <w:bidi w:val="0"/>
        <w:adjustRightInd/>
        <w:snapToGrid/>
        <w:spacing w:line="560" w:lineRule="exact"/>
        <w:ind w:left="2240" w:leftChars="700" w:firstLine="320" w:firstLineChars="100"/>
        <w:rPr>
          <w:rFonts w:hint="eastAsia" w:ascii="仿宋_GB2312" w:hAnsi="仿宋_GB2312" w:eastAsia="仿宋_GB2312" w:cs="仿宋_GB2312"/>
          <w:b w:val="0"/>
          <w:bCs w:val="0"/>
          <w:highlight w:val="none"/>
          <w:shd w:val="clear" w:color="auto" w:fill="FFFFFF"/>
          <w:lang w:eastAsia="zh-CN"/>
        </w:rPr>
      </w:pPr>
    </w:p>
    <w:p>
      <w:pPr>
        <w:pStyle w:val="2"/>
        <w:pageBreakBefore w:val="0"/>
        <w:kinsoku/>
        <w:wordWrap/>
        <w:overflowPunct/>
        <w:topLinePunct w:val="0"/>
        <w:autoSpaceDE/>
        <w:autoSpaceDN/>
        <w:bidi w:val="0"/>
        <w:adjustRightInd/>
        <w:snapToGrid/>
        <w:spacing w:line="560" w:lineRule="exact"/>
        <w:ind w:left="2240" w:leftChars="700" w:firstLine="2880" w:firstLineChars="900"/>
        <w:rPr>
          <w:rFonts w:hint="eastAsia" w:ascii="仿宋_GB2312" w:hAnsi="仿宋_GB2312" w:eastAsia="仿宋_GB2312" w:cs="仿宋_GB2312"/>
          <w:b w:val="0"/>
          <w:bCs w:val="0"/>
          <w:highlight w:val="none"/>
          <w:shd w:val="clear" w:color="auto" w:fill="FFFFFF"/>
          <w:lang w:eastAsia="zh-CN"/>
        </w:rPr>
      </w:pPr>
      <w:r>
        <w:rPr>
          <w:rFonts w:hint="eastAsia" w:ascii="仿宋_GB2312" w:hAnsi="仿宋_GB2312" w:eastAsia="仿宋_GB2312" w:cs="仿宋_GB2312"/>
          <w:b w:val="0"/>
          <w:bCs w:val="0"/>
          <w:highlight w:val="none"/>
          <w:shd w:val="clear" w:color="auto" w:fill="FFFFFF"/>
          <w:lang w:eastAsia="zh-CN"/>
        </w:rPr>
        <w:t>遂宁市经济和信息化局</w:t>
      </w:r>
    </w:p>
    <w:p>
      <w:pPr>
        <w:pStyle w:val="2"/>
        <w:pageBreakBefore w:val="0"/>
        <w:kinsoku/>
        <w:wordWrap/>
        <w:overflowPunct/>
        <w:topLinePunct w:val="0"/>
        <w:autoSpaceDE/>
        <w:autoSpaceDN/>
        <w:bidi w:val="0"/>
        <w:adjustRightInd/>
        <w:snapToGrid/>
        <w:spacing w:line="560" w:lineRule="exact"/>
        <w:ind w:firstLine="5475" w:firstLineChars="1711"/>
        <w:rPr>
          <w:rFonts w:hint="default" w:ascii="仿宋_GB2312" w:hAnsi="仿宋_GB2312" w:eastAsia="仿宋_GB2312" w:cs="仿宋_GB2312"/>
          <w:b w:val="0"/>
          <w:bCs w:val="0"/>
          <w:highlight w:val="none"/>
          <w:shd w:val="clear" w:color="auto" w:fill="FFFFFF"/>
          <w:lang w:val="en-US" w:eastAsia="zh-CN"/>
        </w:rPr>
        <w:sectPr>
          <w:pgSz w:w="11906" w:h="16838"/>
          <w:pgMar w:top="1984" w:right="1587" w:bottom="1984" w:left="1474" w:header="851" w:footer="992" w:gutter="0"/>
          <w:cols w:space="425" w:num="1"/>
          <w:docGrid w:type="lines" w:linePitch="312" w:charSpace="0"/>
        </w:sectPr>
      </w:pPr>
      <w:r>
        <w:rPr>
          <w:rFonts w:hint="eastAsia" w:ascii="仿宋_GB2312" w:hAnsi="仿宋_GB2312" w:eastAsia="仿宋_GB2312" w:cs="仿宋_GB2312"/>
          <w:b w:val="0"/>
          <w:bCs w:val="0"/>
          <w:highlight w:val="none"/>
          <w:shd w:val="clear" w:color="auto" w:fill="FFFFFF"/>
          <w:lang w:val="en-US" w:eastAsia="zh-CN"/>
        </w:rPr>
        <w:t>2023年3月28日</w:t>
      </w:r>
    </w:p>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黑体" w:hAnsi="黑体" w:eastAsia="黑体" w:cs="黑体"/>
          <w:b w:val="0"/>
          <w:bCs w:val="0"/>
          <w:highlight w:val="none"/>
          <w:shd w:val="clear" w:color="auto" w:fill="FFFFFF"/>
          <w:lang w:val="en-US" w:eastAsia="zh-CN"/>
        </w:rPr>
      </w:pPr>
      <w:r>
        <w:rPr>
          <w:rFonts w:hint="eastAsia" w:ascii="黑体" w:hAnsi="黑体" w:eastAsia="黑体" w:cs="黑体"/>
          <w:b w:val="0"/>
          <w:bCs w:val="0"/>
          <w:highlight w:val="none"/>
          <w:shd w:val="clear" w:color="auto" w:fill="FFFFFF"/>
          <w:lang w:val="zh-CN"/>
        </w:rPr>
        <w:t>附</w:t>
      </w:r>
      <w:r>
        <w:rPr>
          <w:rFonts w:hint="eastAsia" w:ascii="黑体" w:hAnsi="黑体" w:eastAsia="黑体" w:cs="黑体"/>
          <w:b w:val="0"/>
          <w:bCs w:val="0"/>
          <w:highlight w:val="none"/>
          <w:shd w:val="clear" w:color="auto" w:fill="FFFFFF"/>
          <w:lang w:val="en-US" w:eastAsia="zh-CN"/>
        </w:rPr>
        <w:t>件1</w:t>
      </w:r>
    </w:p>
    <w:p>
      <w:pPr>
        <w:pStyle w:val="2"/>
        <w:rPr>
          <w:rFonts w:hint="eastAsia"/>
          <w:lang w:val="en-US"/>
        </w:rPr>
      </w:pPr>
    </w:p>
    <w:p>
      <w:pPr>
        <w:pStyle w:val="6"/>
        <w:pageBreakBefore w:val="0"/>
        <w:kinsoku/>
        <w:wordWrap/>
        <w:overflowPunct/>
        <w:topLinePunct w:val="0"/>
        <w:autoSpaceDE/>
        <w:autoSpaceDN/>
        <w:bidi w:val="0"/>
        <w:adjustRightInd/>
        <w:snapToGrid/>
        <w:spacing w:before="0" w:after="0" w:line="560" w:lineRule="exact"/>
        <w:ind w:left="0" w:leftChars="0" w:firstLine="880" w:firstLineChars="200"/>
        <w:rPr>
          <w:rFonts w:hint="eastAsia" w:ascii="方正小标宋简体" w:hAnsi="方正小标宋简体" w:eastAsia="方正小标宋简体" w:cs="方正小标宋简体"/>
          <w:b w:val="0"/>
          <w:bCs w:val="0"/>
          <w:color w:val="auto"/>
          <w:sz w:val="44"/>
          <w:szCs w:val="44"/>
          <w:highlight w:val="none"/>
          <w:shd w:val="clear" w:color="auto" w:fill="FFFFFF"/>
          <w:lang w:val="zh-CN"/>
        </w:rPr>
      </w:pP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2022年</w:t>
      </w:r>
      <w:r>
        <w:rPr>
          <w:rFonts w:hint="eastAsia" w:ascii="方正小标宋简体" w:hAnsi="方正小标宋简体" w:eastAsia="方正小标宋简体" w:cs="方正小标宋简体"/>
          <w:b w:val="0"/>
          <w:bCs w:val="0"/>
          <w:color w:val="auto"/>
          <w:sz w:val="44"/>
          <w:szCs w:val="44"/>
          <w:highlight w:val="none"/>
          <w:shd w:val="clear" w:color="auto" w:fill="FFFFFF"/>
          <w:lang w:val="zh-CN"/>
        </w:rPr>
        <w:t>部门整体支出绩效自评表</w:t>
      </w:r>
    </w:p>
    <w:p>
      <w:pPr>
        <w:rPr>
          <w:rFonts w:hint="eastAsia"/>
          <w:lang w:val="zh-CN"/>
        </w:rPr>
      </w:pPr>
    </w:p>
    <w:tbl>
      <w:tblPr>
        <w:tblStyle w:val="9"/>
        <w:tblW w:w="5291" w:type="pct"/>
        <w:tblInd w:w="-6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1056"/>
        <w:gridCol w:w="994"/>
        <w:gridCol w:w="1056"/>
        <w:gridCol w:w="994"/>
        <w:gridCol w:w="997"/>
        <w:gridCol w:w="1056"/>
        <w:gridCol w:w="1056"/>
        <w:gridCol w:w="1056"/>
        <w:gridCol w:w="1056"/>
        <w:gridCol w:w="1559"/>
        <w:gridCol w:w="181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01" w:firstLineChars="20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绩效指标</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指标分值</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指标解释</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计分标准</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01" w:firstLineChars="20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评价方式</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01" w:firstLineChars="20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评价属性</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01" w:firstLineChars="20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依据资料</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评价过程（只写扣分项的原因）</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一级指标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二级指标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三级指标</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401" w:firstLineChars="200"/>
              <w:jc w:val="center"/>
              <w:rPr>
                <w:rFonts w:hint="eastAsia" w:asciiTheme="minorEastAsia" w:hAnsiTheme="minorEastAsia" w:eastAsiaTheme="minorEastAsia" w:cstheme="minorEastAsia"/>
                <w:b/>
                <w:bCs/>
                <w:i w:val="0"/>
                <w:iCs w:val="0"/>
                <w:color w:val="auto"/>
                <w:sz w:val="20"/>
                <w:szCs w:val="20"/>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401" w:firstLineChars="200"/>
              <w:jc w:val="center"/>
              <w:rPr>
                <w:rFonts w:hint="eastAsia" w:asciiTheme="minorEastAsia" w:hAnsiTheme="minorEastAsia" w:eastAsiaTheme="minorEastAsia" w:cstheme="minorEastAsia"/>
                <w:b/>
                <w:bCs/>
                <w:i w:val="0"/>
                <w:iCs w:val="0"/>
                <w:color w:val="auto"/>
                <w:sz w:val="20"/>
                <w:szCs w:val="20"/>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401" w:firstLineChars="200"/>
              <w:jc w:val="center"/>
              <w:rPr>
                <w:rFonts w:hint="eastAsia" w:asciiTheme="minorEastAsia" w:hAnsiTheme="minorEastAsia" w:eastAsiaTheme="minorEastAsia" w:cstheme="minorEastAsia"/>
                <w:b/>
                <w:bCs/>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整体评价</w:t>
            </w:r>
          </w:p>
        </w:tc>
        <w:tc>
          <w:tcPr>
            <w:tcW w:w="3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样本评价</w:t>
            </w:r>
          </w:p>
        </w:tc>
        <w:tc>
          <w:tcPr>
            <w:tcW w:w="3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定性评价</w:t>
            </w:r>
          </w:p>
        </w:tc>
        <w:tc>
          <w:tcPr>
            <w:tcW w:w="3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定量评价</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401" w:firstLineChars="200"/>
              <w:jc w:val="center"/>
              <w:rPr>
                <w:rFonts w:hint="eastAsia" w:asciiTheme="minorEastAsia" w:hAnsiTheme="minorEastAsia" w:eastAsiaTheme="minorEastAsia" w:cstheme="minorEastAsia"/>
                <w:b/>
                <w:bCs/>
                <w:i w:val="0"/>
                <w:iCs w:val="0"/>
                <w:color w:val="auto"/>
                <w:sz w:val="20"/>
                <w:szCs w:val="20"/>
                <w:highlight w:val="none"/>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401" w:firstLineChars="200"/>
              <w:jc w:val="center"/>
              <w:rPr>
                <w:rFonts w:hint="eastAsia" w:asciiTheme="minorEastAsia" w:hAnsiTheme="minorEastAsia" w:eastAsiaTheme="minorEastAsia" w:cstheme="minorEastAsia"/>
                <w:b/>
                <w:bCs/>
                <w:i w:val="0"/>
                <w:iCs w:val="0"/>
                <w:color w:val="auto"/>
                <w:sz w:val="20"/>
                <w:szCs w:val="20"/>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ind w:left="0" w:leftChars="0" w:firstLine="401" w:firstLineChars="200"/>
              <w:jc w:val="center"/>
              <w:rPr>
                <w:rFonts w:hint="eastAsia" w:asciiTheme="minorEastAsia" w:hAnsiTheme="minorEastAsia" w:eastAsiaTheme="minorEastAsia" w:cstheme="minorEastAsia"/>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部门预算管理（70分）</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预算编制（25分）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目标制定</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评价部门绩效目标是否要素完整、细化量化并集体决策。</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5"/>
                <w:rFonts w:hint="eastAsia" w:ascii="楷体_GB2312" w:hAnsi="楷体_GB2312" w:eastAsia="楷体_GB2312" w:cs="楷体_GB2312"/>
                <w:color w:val="auto"/>
                <w:highlight w:val="none"/>
                <w:lang w:val="en-US" w:eastAsia="zh-CN" w:bidi="ar"/>
              </w:rPr>
              <w:t xml:space="preserve">1.绩效目标编制要素完整的，得4分，否则酌情扣分。                                                       2.绩效指标细化量化的，得4分，否则酌情扣分。                                                                    </w:t>
            </w:r>
            <w:r>
              <w:rPr>
                <w:rStyle w:val="15"/>
                <w:rFonts w:hint="eastAsia" w:ascii="楷体_GB2312" w:hAnsi="楷体_GB2312" w:eastAsia="楷体_GB2312" w:cs="楷体_GB2312"/>
                <w:color w:val="auto"/>
                <w:highlight w:val="none"/>
                <w:lang w:val="en-US" w:eastAsia="zh-CN" w:bidi="ar"/>
              </w:rPr>
              <w:br w:type="textWrapping"/>
            </w:r>
            <w:r>
              <w:rPr>
                <w:rStyle w:val="15"/>
                <w:rFonts w:hint="eastAsia" w:ascii="楷体_GB2312" w:hAnsi="楷体_GB2312" w:eastAsia="楷体_GB2312" w:cs="楷体_GB2312"/>
                <w:color w:val="auto"/>
                <w:highlight w:val="none"/>
                <w:lang w:val="en-US" w:eastAsia="zh-CN" w:bidi="ar"/>
              </w:rPr>
              <w:t>3.</w:t>
            </w:r>
            <w:r>
              <w:rPr>
                <w:rStyle w:val="16"/>
                <w:rFonts w:hint="eastAsia" w:ascii="楷体_GB2312" w:hAnsi="楷体_GB2312" w:eastAsia="楷体_GB2312" w:cs="楷体_GB2312"/>
                <w:color w:val="auto"/>
                <w:highlight w:val="none"/>
                <w:lang w:val="en-US" w:eastAsia="zh-CN" w:bidi="ar"/>
              </w:rPr>
              <w:t>评价部门绩效目标纳入部门党组（委）会（办公会）集体决策范围的得2分</w:t>
            </w:r>
            <w:r>
              <w:rPr>
                <w:rStyle w:val="15"/>
                <w:rFonts w:hint="eastAsia" w:ascii="楷体_GB2312" w:hAnsi="楷体_GB2312" w:eastAsia="楷体_GB2312" w:cs="楷体_GB2312"/>
                <w:color w:val="auto"/>
                <w:highlight w:val="none"/>
                <w:lang w:val="en-US" w:eastAsia="zh-CN" w:bidi="ar"/>
              </w:rPr>
              <w:t xml:space="preserve">，否则不得分。                                                 </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6"/>
                <w:rFonts w:hint="eastAsia" w:ascii="楷体_GB2312" w:hAnsi="楷体_GB2312" w:eastAsia="楷体_GB2312" w:cs="楷体_GB2312"/>
                <w:color w:val="auto"/>
                <w:highlight w:val="none"/>
                <w:lang w:val="en-US" w:eastAsia="zh-CN" w:bidi="ar"/>
              </w:rPr>
              <w:t>批复的绩效目标及指标表。</w:t>
            </w:r>
            <w:r>
              <w:rPr>
                <w:rStyle w:val="17"/>
                <w:rFonts w:hint="eastAsia" w:ascii="楷体_GB2312" w:hAnsi="楷体_GB2312" w:eastAsia="楷体_GB2312" w:cs="楷体_GB2312"/>
                <w:color w:val="auto"/>
                <w:highlight w:val="none"/>
                <w:lang w:val="en-US" w:eastAsia="zh-CN" w:bidi="ar"/>
              </w:rPr>
              <w:t>要素完整指目标的完成指标及效益指标、满意度指标是否填写完整，根据编制绩效目标时市财政局的要求。指标细化量化指该定量表达的是否定量表达，定性表达是否明确具体。</w:t>
            </w:r>
            <w:r>
              <w:rPr>
                <w:rStyle w:val="16"/>
                <w:rFonts w:hint="eastAsia" w:ascii="楷体_GB2312" w:hAnsi="楷体_GB2312" w:eastAsia="楷体_GB2312" w:cs="楷体_GB2312"/>
                <w:color w:val="auto"/>
                <w:highlight w:val="none"/>
                <w:lang w:val="en-US" w:eastAsia="zh-CN" w:bidi="ar"/>
              </w:rPr>
              <w:t>党组（委）会（办公会）会议记录、纪要。</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目标完成</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15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评价部门绩效目标实际实现程度与预期目标的偏离度。</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5"/>
                <w:rFonts w:hint="eastAsia" w:ascii="楷体_GB2312" w:hAnsi="楷体_GB2312" w:eastAsia="楷体_GB2312" w:cs="楷体_GB2312"/>
                <w:color w:val="auto"/>
                <w:highlight w:val="none"/>
                <w:lang w:val="en-US" w:eastAsia="zh-CN" w:bidi="ar"/>
              </w:rPr>
              <w:t>以项目完成数量指标为核心，评价项目实际完成情况是否达到预期绩效目标，</w:t>
            </w:r>
            <w:r>
              <w:rPr>
                <w:rStyle w:val="16"/>
                <w:rFonts w:hint="eastAsia" w:ascii="楷体_GB2312" w:hAnsi="楷体_GB2312" w:eastAsia="楷体_GB2312" w:cs="楷体_GB2312"/>
                <w:color w:val="auto"/>
                <w:highlight w:val="none"/>
                <w:lang w:val="en-US" w:eastAsia="zh-CN" w:bidi="ar"/>
              </w:rPr>
              <w:t>指标得分=达到预期绩效目标的部门预算项目个数/纳入绩效目标管理的部门预算项目个数*15</w:t>
            </w:r>
            <w:r>
              <w:rPr>
                <w:rStyle w:val="15"/>
                <w:rFonts w:hint="eastAsia" w:ascii="楷体_GB2312" w:hAnsi="楷体_GB2312" w:eastAsia="楷体_GB2312" w:cs="楷体_GB2312"/>
                <w:color w:val="auto"/>
                <w:highlight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项目绩效目标申报表（数量指标）。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 xml:space="preserve">                                                                             预算执行（25分）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支出控制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部门公用经费及项目支出相关科目控制情况。</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7"/>
                <w:rFonts w:hint="eastAsia" w:ascii="楷体_GB2312" w:hAnsi="楷体_GB2312" w:eastAsia="楷体_GB2312" w:cs="楷体_GB2312"/>
                <w:color w:val="auto"/>
                <w:highlight w:val="none"/>
                <w:lang w:val="en-US" w:eastAsia="zh-CN" w:bidi="ar"/>
              </w:rPr>
              <w:t>计算部门日常公用经费、项目支出中“办公费、印刷费、水费、电费、物业管理费、维修（护）费、培训费、会议费”8个科目</w:t>
            </w:r>
            <w:r>
              <w:rPr>
                <w:rStyle w:val="16"/>
                <w:rFonts w:hint="eastAsia" w:ascii="楷体_GB2312" w:hAnsi="楷体_GB2312" w:eastAsia="楷体_GB2312" w:cs="楷体_GB2312"/>
                <w:color w:val="auto"/>
                <w:highlight w:val="none"/>
                <w:lang w:val="en-US" w:eastAsia="zh-CN" w:bidi="ar"/>
              </w:rPr>
              <w:t>年初预算数与决算数偏差程</w:t>
            </w:r>
            <w:r>
              <w:rPr>
                <w:rStyle w:val="17"/>
                <w:rFonts w:hint="eastAsia" w:ascii="楷体_GB2312" w:hAnsi="楷体_GB2312" w:eastAsia="楷体_GB2312" w:cs="楷体_GB2312"/>
                <w:color w:val="auto"/>
                <w:highlight w:val="none"/>
                <w:lang w:val="en-US" w:eastAsia="zh-CN" w:bidi="ar"/>
              </w:rPr>
              <w:t xml:space="preserve">度。                                              </w:t>
            </w:r>
            <w:r>
              <w:rPr>
                <w:rStyle w:val="16"/>
                <w:rFonts w:hint="eastAsia" w:ascii="楷体_GB2312" w:hAnsi="楷体_GB2312" w:eastAsia="楷体_GB2312" w:cs="楷体_GB2312"/>
                <w:color w:val="auto"/>
                <w:highlight w:val="none"/>
                <w:lang w:val="en-US" w:eastAsia="zh-CN" w:bidi="ar"/>
              </w:rPr>
              <w:t xml:space="preserve">预决算偏差程度在10%以内的，得10分。偏差度在10%-20%之间的，得5分，偏差度超过20%的，不得分。 </w:t>
            </w:r>
            <w:r>
              <w:rPr>
                <w:rStyle w:val="17"/>
                <w:rFonts w:hint="eastAsia" w:ascii="楷体_GB2312" w:hAnsi="楷体_GB2312" w:eastAsia="楷体_GB2312" w:cs="楷体_GB2312"/>
                <w:color w:val="auto"/>
                <w:highlight w:val="none"/>
                <w:lang w:val="en-US" w:eastAsia="zh-CN" w:bidi="ar"/>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决算数：决算报表Z08_1Z08_2、Z10_1、Z10_2、Z12相关科目合计数年初预算数：一体化系统—综合报表查询2022年—预算编制报表—部门预算批复（表12支出经济分类表）</w:t>
            </w:r>
            <w:r>
              <w:rPr>
                <w:rFonts w:hint="eastAsia" w:ascii="楷体_GB2312" w:hAnsi="楷体_GB2312" w:eastAsia="楷体_GB2312" w:cs="楷体_GB2312"/>
                <w:i w:val="0"/>
                <w:iCs w:val="0"/>
                <w:color w:val="auto"/>
                <w:kern w:val="0"/>
                <w:sz w:val="20"/>
                <w:szCs w:val="20"/>
                <w:highlight w:val="none"/>
                <w:u w:val="none"/>
                <w:lang w:val="en-US" w:eastAsia="zh-CN" w:bidi="ar"/>
              </w:rPr>
              <w:br w:type="textWrapping"/>
            </w:r>
            <w:r>
              <w:rPr>
                <w:rFonts w:hint="eastAsia" w:ascii="楷体_GB2312" w:hAnsi="楷体_GB2312" w:eastAsia="楷体_GB2312" w:cs="楷体_GB2312"/>
                <w:i w:val="0"/>
                <w:iCs w:val="0"/>
                <w:color w:val="auto"/>
                <w:kern w:val="0"/>
                <w:sz w:val="20"/>
                <w:szCs w:val="20"/>
                <w:highlight w:val="none"/>
                <w:u w:val="none"/>
                <w:lang w:val="en-US" w:eastAsia="zh-CN" w:bidi="ar"/>
              </w:rPr>
              <w:t>偏差程度=（决算数-预算数）的绝对值/决算数*100%。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根据本单位预算批复中分析出该八个科目合计数为54.44万元，根据本单位决算报表中分析出该八个科目合计数为407.33万元，偏差度为（407.33-54.44）/54.44=648.22%，因此得0分。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及时处置</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评价部门开展绩效运行监控后，将绩效监控结果应用到预算调整的情况。</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7"/>
                <w:rFonts w:hint="eastAsia" w:ascii="楷体_GB2312" w:hAnsi="楷体_GB2312" w:eastAsia="楷体_GB2312" w:cs="楷体_GB2312"/>
                <w:color w:val="auto"/>
                <w:highlight w:val="none"/>
                <w:lang w:val="en-US" w:eastAsia="zh-CN" w:bidi="ar"/>
              </w:rPr>
              <w:t>1.当部门</w:t>
            </w:r>
            <w:r>
              <w:rPr>
                <w:rStyle w:val="16"/>
                <w:rFonts w:hint="eastAsia" w:ascii="楷体_GB2312" w:hAnsi="楷体_GB2312" w:eastAsia="楷体_GB2312" w:cs="楷体_GB2312"/>
                <w:color w:val="auto"/>
                <w:highlight w:val="none"/>
                <w:lang w:val="en-US" w:eastAsia="zh-CN" w:bidi="ar"/>
              </w:rPr>
              <w:t>绩效监控调整取消额和结余注销额</w:t>
            </w:r>
            <w:r>
              <w:rPr>
                <w:rStyle w:val="17"/>
                <w:rFonts w:hint="eastAsia" w:ascii="楷体_GB2312" w:hAnsi="楷体_GB2312" w:eastAsia="楷体_GB2312" w:cs="楷体_GB2312"/>
                <w:color w:val="auto"/>
                <w:highlight w:val="none"/>
                <w:lang w:val="en-US" w:eastAsia="zh-CN" w:bidi="ar"/>
              </w:rPr>
              <w:t>均不为零时，指标得分=部门项目支出绩效监控调整取消额÷(部门绩效监控调整取消额+预算结余注销额）*5                                                  2.当部门绩效监控</w:t>
            </w:r>
            <w:r>
              <w:rPr>
                <w:rStyle w:val="16"/>
                <w:rFonts w:hint="eastAsia" w:ascii="楷体_GB2312" w:hAnsi="楷体_GB2312" w:eastAsia="楷体_GB2312" w:cs="楷体_GB2312"/>
                <w:color w:val="auto"/>
                <w:highlight w:val="none"/>
                <w:lang w:val="en-US" w:eastAsia="zh-CN" w:bidi="ar"/>
              </w:rPr>
              <w:t>调整取消额为零，结余注销额</w:t>
            </w:r>
            <w:r>
              <w:rPr>
                <w:rStyle w:val="17"/>
                <w:rFonts w:hint="eastAsia" w:ascii="楷体_GB2312" w:hAnsi="楷体_GB2312" w:eastAsia="楷体_GB2312" w:cs="楷体_GB2312"/>
                <w:color w:val="auto"/>
                <w:highlight w:val="none"/>
                <w:lang w:val="en-US" w:eastAsia="zh-CN" w:bidi="ar"/>
              </w:rPr>
              <w:t xml:space="preserve">不为零时，指标得分=（1-5*结余注销额/年度预算总额）*5，结余注销额超过部门年度预算总额10%的，指标不得分。                  </w:t>
            </w:r>
            <w:r>
              <w:rPr>
                <w:rStyle w:val="17"/>
                <w:rFonts w:hint="eastAsia" w:ascii="楷体_GB2312" w:hAnsi="楷体_GB2312" w:eastAsia="楷体_GB2312" w:cs="楷体_GB2312"/>
                <w:color w:val="auto"/>
                <w:highlight w:val="none"/>
                <w:lang w:val="en-US" w:eastAsia="zh-CN" w:bidi="ar"/>
              </w:rPr>
              <w:br w:type="textWrapping"/>
            </w:r>
            <w:r>
              <w:rPr>
                <w:rStyle w:val="17"/>
                <w:rFonts w:hint="eastAsia" w:ascii="楷体_GB2312" w:hAnsi="楷体_GB2312" w:eastAsia="楷体_GB2312" w:cs="楷体_GB2312"/>
                <w:color w:val="auto"/>
                <w:highlight w:val="none"/>
                <w:lang w:val="en-US" w:eastAsia="zh-CN" w:bidi="ar"/>
              </w:rPr>
              <w:t>3.当</w:t>
            </w:r>
            <w:r>
              <w:rPr>
                <w:rStyle w:val="16"/>
                <w:rFonts w:hint="eastAsia" w:ascii="楷体_GB2312" w:hAnsi="楷体_GB2312" w:eastAsia="楷体_GB2312" w:cs="楷体_GB2312"/>
                <w:color w:val="auto"/>
                <w:highlight w:val="none"/>
                <w:lang w:val="en-US" w:eastAsia="zh-CN" w:bidi="ar"/>
              </w:rPr>
              <w:t>部门绩效监控调整取消额与结余注销额</w:t>
            </w:r>
            <w:r>
              <w:rPr>
                <w:rStyle w:val="17"/>
                <w:rFonts w:hint="eastAsia" w:ascii="楷体_GB2312" w:hAnsi="楷体_GB2312" w:eastAsia="楷体_GB2312" w:cs="楷体_GB2312"/>
                <w:color w:val="auto"/>
                <w:highlight w:val="none"/>
                <w:lang w:val="en-US" w:eastAsia="zh-CN" w:bidi="ar"/>
              </w:rPr>
              <w:t xml:space="preserve">均为零时，得满分。   </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决算报表（Z01全年预算数、CS01_1）</w:t>
            </w:r>
            <w:r>
              <w:rPr>
                <w:rFonts w:hint="eastAsia" w:ascii="楷体_GB2312" w:hAnsi="楷体_GB2312" w:eastAsia="楷体_GB2312" w:cs="楷体_GB2312"/>
                <w:i w:val="0"/>
                <w:iCs w:val="0"/>
                <w:color w:val="auto"/>
                <w:kern w:val="0"/>
                <w:sz w:val="20"/>
                <w:szCs w:val="20"/>
                <w:highlight w:val="none"/>
                <w:u w:val="none"/>
                <w:lang w:val="en-US" w:eastAsia="zh-CN" w:bidi="ar"/>
              </w:rPr>
              <w:br w:type="textWrapping"/>
            </w:r>
            <w:r>
              <w:rPr>
                <w:rFonts w:hint="eastAsia" w:ascii="楷体_GB2312" w:hAnsi="楷体_GB2312" w:eastAsia="楷体_GB2312" w:cs="楷体_GB2312"/>
                <w:i w:val="0"/>
                <w:iCs w:val="0"/>
                <w:color w:val="auto"/>
                <w:kern w:val="0"/>
                <w:sz w:val="20"/>
                <w:szCs w:val="20"/>
                <w:highlight w:val="none"/>
                <w:u w:val="none"/>
                <w:lang w:val="en-US" w:eastAsia="zh-CN" w:bidi="ar"/>
              </w:rPr>
              <w:t>年度预算总额：Z01全年预算数总计数。</w:t>
            </w:r>
            <w:r>
              <w:rPr>
                <w:rFonts w:hint="eastAsia" w:ascii="楷体_GB2312" w:hAnsi="楷体_GB2312" w:eastAsia="楷体_GB2312" w:cs="楷体_GB2312"/>
                <w:i w:val="0"/>
                <w:iCs w:val="0"/>
                <w:color w:val="auto"/>
                <w:kern w:val="0"/>
                <w:sz w:val="20"/>
                <w:szCs w:val="20"/>
                <w:highlight w:val="none"/>
                <w:u w:val="none"/>
                <w:lang w:val="en-US" w:eastAsia="zh-CN" w:bidi="ar"/>
              </w:rPr>
              <w:br w:type="textWrapping"/>
            </w:r>
            <w:r>
              <w:rPr>
                <w:rFonts w:hint="eastAsia" w:ascii="楷体_GB2312" w:hAnsi="楷体_GB2312" w:eastAsia="楷体_GB2312" w:cs="楷体_GB2312"/>
                <w:i w:val="0"/>
                <w:iCs w:val="0"/>
                <w:color w:val="auto"/>
                <w:kern w:val="0"/>
                <w:sz w:val="20"/>
                <w:szCs w:val="20"/>
                <w:highlight w:val="none"/>
                <w:u w:val="none"/>
                <w:lang w:val="en-US" w:eastAsia="zh-CN" w:bidi="ar"/>
              </w:rPr>
              <w:t>绩效监控调整取消额：调整前年初结转和结余-调整后年初结转和结余=0，则没有取消额。</w:t>
            </w:r>
            <w:r>
              <w:rPr>
                <w:rFonts w:hint="eastAsia" w:ascii="楷体_GB2312" w:hAnsi="楷体_GB2312" w:eastAsia="楷体_GB2312" w:cs="楷体_GB2312"/>
                <w:i w:val="0"/>
                <w:iCs w:val="0"/>
                <w:color w:val="auto"/>
                <w:kern w:val="0"/>
                <w:sz w:val="20"/>
                <w:szCs w:val="20"/>
                <w:highlight w:val="none"/>
                <w:u w:val="none"/>
                <w:lang w:val="en-US" w:eastAsia="zh-CN" w:bidi="ar"/>
              </w:rPr>
              <w:br w:type="textWrapping"/>
            </w:r>
            <w:r>
              <w:rPr>
                <w:rFonts w:hint="eastAsia" w:ascii="楷体_GB2312" w:hAnsi="楷体_GB2312" w:eastAsia="楷体_GB2312" w:cs="楷体_GB2312"/>
                <w:i w:val="0"/>
                <w:iCs w:val="0"/>
                <w:color w:val="auto"/>
                <w:kern w:val="0"/>
                <w:sz w:val="20"/>
                <w:szCs w:val="20"/>
                <w:highlight w:val="none"/>
                <w:u w:val="none"/>
                <w:lang w:val="en-US" w:eastAsia="zh-CN" w:bidi="ar"/>
              </w:rPr>
              <w:t>预算结余注销额：决算报表CS01_1归集上缴和缴回资金栏为0，表示当年没有注销，如果有数就是注销额。</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执行进度</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评价部门在6、9、11月的预算执行情况。</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7"/>
                <w:rFonts w:hint="eastAsia" w:ascii="楷体_GB2312" w:hAnsi="楷体_GB2312" w:eastAsia="楷体_GB2312" w:cs="楷体_GB2312"/>
                <w:color w:val="auto"/>
                <w:highlight w:val="none"/>
                <w:lang w:val="en-US" w:eastAsia="zh-CN" w:bidi="ar"/>
              </w:rPr>
              <w:t>部门预算执行进度在6、9、11月应达到序时进度的</w:t>
            </w:r>
            <w:r>
              <w:rPr>
                <w:rStyle w:val="16"/>
                <w:rFonts w:hint="eastAsia" w:ascii="楷体_GB2312" w:hAnsi="楷体_GB2312" w:eastAsia="楷体_GB2312" w:cs="楷体_GB2312"/>
                <w:color w:val="auto"/>
                <w:highlight w:val="none"/>
                <w:lang w:val="en-US" w:eastAsia="zh-CN" w:bidi="ar"/>
              </w:rPr>
              <w:t>80%、90%、90%</w:t>
            </w:r>
            <w:r>
              <w:rPr>
                <w:rStyle w:val="17"/>
                <w:rFonts w:hint="eastAsia" w:ascii="楷体_GB2312" w:hAnsi="楷体_GB2312" w:eastAsia="楷体_GB2312" w:cs="楷体_GB2312"/>
                <w:color w:val="auto"/>
                <w:highlight w:val="none"/>
                <w:lang w:val="en-US" w:eastAsia="zh-CN" w:bidi="ar"/>
              </w:rPr>
              <w:t>，即实际支出进度分别达到</w:t>
            </w:r>
            <w:r>
              <w:rPr>
                <w:rStyle w:val="16"/>
                <w:rFonts w:hint="eastAsia" w:ascii="楷体_GB2312" w:hAnsi="楷体_GB2312" w:eastAsia="楷体_GB2312" w:cs="楷体_GB2312"/>
                <w:color w:val="auto"/>
                <w:highlight w:val="none"/>
                <w:lang w:val="en-US" w:eastAsia="zh-CN" w:bidi="ar"/>
              </w:rPr>
              <w:t>40%、67.5%、82.5%</w:t>
            </w:r>
            <w:r>
              <w:rPr>
                <w:rStyle w:val="17"/>
                <w:rFonts w:hint="eastAsia" w:ascii="楷体_GB2312" w:hAnsi="楷体_GB2312" w:eastAsia="楷体_GB2312" w:cs="楷体_GB2312"/>
                <w:color w:val="auto"/>
                <w:highlight w:val="none"/>
                <w:lang w:val="en-US" w:eastAsia="zh-CN" w:bidi="ar"/>
              </w:rPr>
              <w:t>。                                                     6、9、11月部门预算执行进度达到量化指标的分别得</w:t>
            </w:r>
            <w:r>
              <w:rPr>
                <w:rStyle w:val="16"/>
                <w:rFonts w:hint="eastAsia" w:ascii="楷体_GB2312" w:hAnsi="楷体_GB2312" w:eastAsia="楷体_GB2312" w:cs="楷体_GB2312"/>
                <w:color w:val="auto"/>
                <w:highlight w:val="none"/>
                <w:lang w:val="en-US" w:eastAsia="zh-CN" w:bidi="ar"/>
              </w:rPr>
              <w:t>3、4、3分</w:t>
            </w:r>
            <w:r>
              <w:rPr>
                <w:rStyle w:val="17"/>
                <w:rFonts w:hint="eastAsia" w:ascii="楷体_GB2312" w:hAnsi="楷体_GB2312" w:eastAsia="楷体_GB2312" w:cs="楷体_GB2312"/>
                <w:color w:val="auto"/>
                <w:highlight w:val="none"/>
                <w:lang w:val="en-US" w:eastAsia="zh-CN" w:bidi="ar"/>
              </w:rPr>
              <w:t>，未达到目标进度的</w:t>
            </w:r>
            <w:bookmarkStart w:id="0" w:name="_GoBack"/>
            <w:bookmarkEnd w:id="0"/>
            <w:r>
              <w:rPr>
                <w:rStyle w:val="17"/>
                <w:rFonts w:hint="eastAsia" w:ascii="楷体_GB2312" w:hAnsi="楷体_GB2312" w:eastAsia="楷体_GB2312" w:cs="楷体_GB2312"/>
                <w:color w:val="auto"/>
                <w:highlight w:val="none"/>
                <w:lang w:val="en-US" w:eastAsia="zh-CN" w:bidi="ar"/>
              </w:rPr>
              <w:t xml:space="preserve">按其实际进度占目标进度的比重计算得分。                                           </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5"/>
                <w:rFonts w:hint="eastAsia" w:ascii="楷体_GB2312" w:hAnsi="楷体_GB2312" w:eastAsia="楷体_GB2312" w:cs="楷体_GB2312"/>
                <w:color w:val="auto"/>
                <w:highlight w:val="none"/>
                <w:lang w:val="en-US" w:eastAsia="zh-CN" w:bidi="ar"/>
              </w:rPr>
              <w:t>一体化系统—综合报表查询2022年—预算执行报表—预算执行（单位）—可执行指标执行情况表—</w:t>
            </w:r>
            <w:r>
              <w:rPr>
                <w:rStyle w:val="16"/>
                <w:rFonts w:hint="eastAsia" w:ascii="楷体_GB2312" w:hAnsi="楷体_GB2312" w:eastAsia="楷体_GB2312" w:cs="楷体_GB2312"/>
                <w:color w:val="auto"/>
                <w:highlight w:val="none"/>
                <w:lang w:val="en-US" w:eastAsia="zh-CN" w:bidi="ar"/>
              </w:rPr>
              <w:t>“支付日期”填需查询的时间段，“预算单位”勾选本部门机关及所有下属单位—查询</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根据本单位资金支付查询表计预算执行表分析出本单位6、9、11月支付进度分别达到37.06%、64.31%、87.47%，6、9月均未达到指标值，11月达到指标值，因此得3分。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完成结果（20分）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预算完成</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评价部门预算年终预算执行情况。</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部门预算12月预算执行进度达到100%的，得5分，未达100%的，按照实际进度量化计算得分。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同上</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资金结余率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 xml:space="preserve">评价部门预算项目年终资金结余情况。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6"/>
                <w:rFonts w:hint="eastAsia" w:ascii="楷体_GB2312" w:hAnsi="楷体_GB2312" w:eastAsia="楷体_GB2312" w:cs="楷体_GB2312"/>
                <w:color w:val="auto"/>
                <w:highlight w:val="none"/>
                <w:lang w:val="en-US" w:eastAsia="zh-CN" w:bidi="ar"/>
              </w:rPr>
              <w:t>部门预算项目</w:t>
            </w:r>
            <w:r>
              <w:rPr>
                <w:rStyle w:val="17"/>
                <w:rFonts w:hint="eastAsia" w:ascii="楷体_GB2312" w:hAnsi="楷体_GB2312" w:eastAsia="楷体_GB2312" w:cs="楷体_GB2312"/>
                <w:color w:val="auto"/>
                <w:highlight w:val="none"/>
                <w:lang w:val="en-US" w:eastAsia="zh-CN" w:bidi="ar"/>
              </w:rPr>
              <w:t>资金结余率小于0.1的项目个数/部门预算项目总数*10。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5"/>
                <w:rFonts w:hint="eastAsia" w:ascii="楷体_GB2312" w:hAnsi="楷体_GB2312" w:eastAsia="楷体_GB2312" w:cs="楷体_GB2312"/>
                <w:color w:val="auto"/>
                <w:highlight w:val="none"/>
                <w:lang w:val="en-US" w:eastAsia="zh-CN" w:bidi="ar"/>
              </w:rPr>
              <w:t>项目资金结余率=1-“完成数”“占预算%”</w:t>
            </w:r>
            <w:r>
              <w:rPr>
                <w:rStyle w:val="15"/>
                <w:rFonts w:hint="eastAsia" w:ascii="楷体_GB2312" w:hAnsi="楷体_GB2312" w:eastAsia="楷体_GB2312" w:cs="楷体_GB2312"/>
                <w:color w:val="auto"/>
                <w:highlight w:val="none"/>
                <w:lang w:val="en-US" w:eastAsia="zh-CN" w:bidi="ar"/>
              </w:rPr>
              <w:br w:type="textWrapping"/>
            </w:r>
            <w:r>
              <w:rPr>
                <w:rStyle w:val="15"/>
                <w:rFonts w:hint="eastAsia" w:ascii="楷体_GB2312" w:hAnsi="楷体_GB2312" w:eastAsia="楷体_GB2312" w:cs="楷体_GB2312"/>
                <w:color w:val="auto"/>
                <w:highlight w:val="none"/>
                <w:lang w:val="en-US" w:eastAsia="zh-CN" w:bidi="ar"/>
              </w:rPr>
              <w:t>部门预算项目总数：一体化系统中“预算数”不为0的项目数量。</w:t>
            </w:r>
            <w:r>
              <w:rPr>
                <w:rStyle w:val="15"/>
                <w:rFonts w:hint="eastAsia" w:ascii="楷体_GB2312" w:hAnsi="楷体_GB2312" w:eastAsia="楷体_GB2312" w:cs="楷体_GB2312"/>
                <w:color w:val="auto"/>
                <w:highlight w:val="none"/>
                <w:lang w:val="en-US" w:eastAsia="zh-CN" w:bidi="ar"/>
              </w:rPr>
              <w:br w:type="textWrapping"/>
            </w:r>
            <w:r>
              <w:rPr>
                <w:rStyle w:val="15"/>
                <w:rFonts w:hint="eastAsia" w:ascii="楷体_GB2312" w:hAnsi="楷体_GB2312" w:eastAsia="楷体_GB2312" w:cs="楷体_GB2312"/>
                <w:color w:val="auto"/>
                <w:highlight w:val="none"/>
                <w:lang w:val="en-US" w:eastAsia="zh-CN" w:bidi="ar"/>
              </w:rPr>
              <w:t>一体化系统—综合报表查询2022年—预算执行报表—预算执行（单位）—可执行指标执行情况表—“支付日期”填需查询的时间段，“预算单位”勾选本部门机关及所有下属单位，</w:t>
            </w:r>
            <w:r>
              <w:rPr>
                <w:rStyle w:val="16"/>
                <w:rFonts w:hint="eastAsia" w:ascii="楷体_GB2312" w:hAnsi="楷体_GB2312" w:eastAsia="楷体_GB2312" w:cs="楷体_GB2312"/>
                <w:color w:val="auto"/>
                <w:highlight w:val="none"/>
                <w:lang w:val="en-US" w:eastAsia="zh-CN" w:bidi="ar"/>
              </w:rPr>
              <w:t>“项目类别”勾选“31-部门项目”</w:t>
            </w:r>
            <w:r>
              <w:rPr>
                <w:rStyle w:val="15"/>
                <w:rFonts w:hint="eastAsia" w:ascii="楷体_GB2312" w:hAnsi="楷体_GB2312" w:eastAsia="楷体_GB2312" w:cs="楷体_GB2312"/>
                <w:color w:val="auto"/>
                <w:highlight w:val="none"/>
                <w:lang w:val="en-US" w:eastAsia="zh-CN" w:bidi="ar"/>
              </w:rPr>
              <w:t>—查询</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违规记录</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7"/>
                <w:rFonts w:hint="eastAsia" w:ascii="楷体_GB2312" w:hAnsi="楷体_GB2312" w:eastAsia="楷体_GB2312" w:cs="楷体_GB2312"/>
                <w:color w:val="auto"/>
                <w:highlight w:val="none"/>
                <w:lang w:val="en-US" w:eastAsia="zh-CN" w:bidi="ar"/>
              </w:rPr>
              <w:t>根据</w:t>
            </w:r>
            <w:r>
              <w:rPr>
                <w:rStyle w:val="16"/>
                <w:rFonts w:hint="eastAsia" w:ascii="楷体_GB2312" w:hAnsi="楷体_GB2312" w:eastAsia="楷体_GB2312" w:cs="楷体_GB2312"/>
                <w:color w:val="auto"/>
                <w:highlight w:val="none"/>
                <w:lang w:val="en-US" w:eastAsia="zh-CN" w:bidi="ar"/>
              </w:rPr>
              <w:t>审计监督、财政检查结果</w:t>
            </w:r>
            <w:r>
              <w:rPr>
                <w:rStyle w:val="17"/>
                <w:rFonts w:hint="eastAsia" w:ascii="楷体_GB2312" w:hAnsi="楷体_GB2312" w:eastAsia="楷体_GB2312" w:cs="楷体_GB2312"/>
                <w:color w:val="auto"/>
                <w:highlight w:val="none"/>
                <w:lang w:val="en-US" w:eastAsia="zh-CN" w:bidi="ar"/>
              </w:rPr>
              <w:t>反映部门上一年度部门预算管理是否合规。</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7"/>
                <w:rFonts w:hint="eastAsia" w:ascii="楷体_GB2312" w:hAnsi="楷体_GB2312" w:eastAsia="楷体_GB2312" w:cs="楷体_GB2312"/>
                <w:color w:val="auto"/>
                <w:highlight w:val="none"/>
                <w:lang w:val="en-US" w:eastAsia="zh-CN" w:bidi="ar"/>
              </w:rPr>
              <w:t>依据上一年度审计监督、财政检查结果，</w:t>
            </w:r>
            <w:r>
              <w:rPr>
                <w:rStyle w:val="16"/>
                <w:rFonts w:hint="eastAsia" w:ascii="楷体_GB2312" w:hAnsi="楷体_GB2312" w:eastAsia="楷体_GB2312" w:cs="楷体_GB2312"/>
                <w:color w:val="auto"/>
                <w:highlight w:val="none"/>
                <w:lang w:val="en-US" w:eastAsia="zh-CN" w:bidi="ar"/>
              </w:rPr>
              <w:t>出现部门预算管理方面违纪违规问题的，每个问题扣0.5分</w:t>
            </w:r>
            <w:r>
              <w:rPr>
                <w:rStyle w:val="17"/>
                <w:rFonts w:hint="eastAsia" w:ascii="楷体_GB2312" w:hAnsi="楷体_GB2312" w:eastAsia="楷体_GB2312" w:cs="楷体_GB2312"/>
                <w:color w:val="auto"/>
                <w:highlight w:val="none"/>
                <w:lang w:val="en-US" w:eastAsia="zh-CN" w:bidi="ar"/>
              </w:rPr>
              <w:t>，直至扣完。</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left"/>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left"/>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上一年度的审计监督、财政检查报告。</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绩效结果应用（20分）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内部应用</w:t>
            </w:r>
            <w:r>
              <w:rPr>
                <w:rFonts w:hint="eastAsia" w:ascii="楷体_GB2312" w:hAnsi="楷体_GB2312" w:eastAsia="楷体_GB2312" w:cs="楷体_GB2312"/>
                <w:i w:val="0"/>
                <w:iCs w:val="0"/>
                <w:color w:val="auto"/>
                <w:kern w:val="0"/>
                <w:sz w:val="20"/>
                <w:szCs w:val="20"/>
                <w:highlight w:val="none"/>
                <w:u w:val="none"/>
                <w:lang w:val="en-US" w:eastAsia="zh-CN" w:bidi="ar"/>
              </w:rPr>
              <w:br w:type="textWrapping"/>
            </w:r>
            <w:r>
              <w:rPr>
                <w:rFonts w:hint="eastAsia" w:ascii="楷体_GB2312" w:hAnsi="楷体_GB2312" w:eastAsia="楷体_GB2312" w:cs="楷体_GB2312"/>
                <w:i w:val="0"/>
                <w:iCs w:val="0"/>
                <w:color w:val="auto"/>
                <w:kern w:val="0"/>
                <w:sz w:val="20"/>
                <w:szCs w:val="20"/>
                <w:highlight w:val="none"/>
                <w:u w:val="none"/>
                <w:lang w:val="en-US" w:eastAsia="zh-CN" w:bidi="ar"/>
              </w:rPr>
              <w:t>（6分）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预算挂钩</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6</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评价部门内部绩效结果与预算挂钩情况。</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6"/>
                <w:rFonts w:hint="eastAsia" w:ascii="楷体_GB2312" w:hAnsi="楷体_GB2312" w:eastAsia="楷体_GB2312" w:cs="楷体_GB2312"/>
                <w:color w:val="auto"/>
                <w:highlight w:val="none"/>
                <w:lang w:val="en-US" w:eastAsia="zh-CN" w:bidi="ar"/>
              </w:rPr>
              <w:t>将内设机构和下属单位绩效自评纳入考核体系</w:t>
            </w:r>
            <w:r>
              <w:rPr>
                <w:rStyle w:val="17"/>
                <w:rFonts w:hint="eastAsia" w:ascii="楷体_GB2312" w:hAnsi="楷体_GB2312" w:eastAsia="楷体_GB2312" w:cs="楷体_GB2312"/>
                <w:color w:val="auto"/>
                <w:highlight w:val="none"/>
                <w:lang w:val="en-US" w:eastAsia="zh-CN" w:bidi="ar"/>
              </w:rPr>
              <w:t xml:space="preserve">，建立对内设机构和下属单位预算与绩效挂钩机制的，得6分，否则酌情扣分。    </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相关制度文件。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信息公开</w:t>
            </w:r>
            <w:r>
              <w:rPr>
                <w:rFonts w:hint="eastAsia" w:ascii="楷体_GB2312" w:hAnsi="楷体_GB2312" w:eastAsia="楷体_GB2312" w:cs="楷体_GB2312"/>
                <w:i w:val="0"/>
                <w:iCs w:val="0"/>
                <w:color w:val="auto"/>
                <w:kern w:val="0"/>
                <w:sz w:val="20"/>
                <w:szCs w:val="20"/>
                <w:highlight w:val="none"/>
                <w:u w:val="none"/>
                <w:lang w:val="en-US" w:eastAsia="zh-CN" w:bidi="ar"/>
              </w:rPr>
              <w:br w:type="textWrapping"/>
            </w:r>
            <w:r>
              <w:rPr>
                <w:rFonts w:hint="eastAsia" w:ascii="楷体_GB2312" w:hAnsi="楷体_GB2312" w:eastAsia="楷体_GB2312" w:cs="楷体_GB2312"/>
                <w:i w:val="0"/>
                <w:iCs w:val="0"/>
                <w:color w:val="auto"/>
                <w:kern w:val="0"/>
                <w:sz w:val="20"/>
                <w:szCs w:val="20"/>
                <w:highlight w:val="none"/>
                <w:u w:val="none"/>
                <w:lang w:val="en-US" w:eastAsia="zh-CN" w:bidi="ar"/>
              </w:rPr>
              <w:t>（4分)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自评公开</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评价部门是否按要求将部门整体绩效自评情况和自行组织的评价情况向社会公开。</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7"/>
                <w:rFonts w:hint="eastAsia" w:ascii="楷体_GB2312" w:hAnsi="楷体_GB2312" w:eastAsia="楷体_GB2312" w:cs="楷体_GB2312"/>
                <w:color w:val="auto"/>
                <w:highlight w:val="none"/>
                <w:lang w:val="en-US" w:eastAsia="zh-CN" w:bidi="ar"/>
              </w:rPr>
              <w:t>按要求将相关绩效信息随同决算公开的，</w:t>
            </w:r>
            <w:r>
              <w:rPr>
                <w:rStyle w:val="16"/>
                <w:rFonts w:hint="eastAsia" w:ascii="楷体_GB2312" w:hAnsi="楷体_GB2312" w:eastAsia="楷体_GB2312" w:cs="楷体_GB2312"/>
                <w:color w:val="auto"/>
                <w:highlight w:val="none"/>
                <w:lang w:val="en-US" w:eastAsia="zh-CN" w:bidi="ar"/>
              </w:rPr>
              <w:t>得4分，否则不得分</w:t>
            </w:r>
            <w:r>
              <w:rPr>
                <w:rStyle w:val="17"/>
                <w:rFonts w:hint="eastAsia" w:ascii="楷体_GB2312" w:hAnsi="楷体_GB2312" w:eastAsia="楷体_GB2312" w:cs="楷体_GB2312"/>
                <w:color w:val="auto"/>
                <w:highlight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政府或部门门户网站。</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整改反馈</w:t>
            </w:r>
            <w:r>
              <w:rPr>
                <w:rFonts w:hint="eastAsia" w:ascii="楷体_GB2312" w:hAnsi="楷体_GB2312" w:eastAsia="楷体_GB2312" w:cs="楷体_GB2312"/>
                <w:i w:val="0"/>
                <w:iCs w:val="0"/>
                <w:color w:val="auto"/>
                <w:kern w:val="0"/>
                <w:sz w:val="20"/>
                <w:szCs w:val="20"/>
                <w:highlight w:val="none"/>
                <w:u w:val="none"/>
                <w:lang w:val="en-US" w:eastAsia="zh-CN" w:bidi="ar"/>
              </w:rPr>
              <w:br w:type="textWrapping"/>
            </w:r>
            <w:r>
              <w:rPr>
                <w:rFonts w:hint="eastAsia" w:ascii="楷体_GB2312" w:hAnsi="楷体_GB2312" w:eastAsia="楷体_GB2312" w:cs="楷体_GB2312"/>
                <w:i w:val="0"/>
                <w:iCs w:val="0"/>
                <w:color w:val="auto"/>
                <w:kern w:val="0"/>
                <w:sz w:val="20"/>
                <w:szCs w:val="20"/>
                <w:highlight w:val="none"/>
                <w:u w:val="none"/>
                <w:lang w:val="en-US" w:eastAsia="zh-CN" w:bidi="ar"/>
              </w:rPr>
              <w:t>（10分）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结果整改</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6</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评价部门根据绩效管理结果整改问题、完善政策、改进管理的情况。</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7"/>
                <w:rFonts w:hint="eastAsia" w:ascii="楷体_GB2312" w:hAnsi="楷体_GB2312" w:eastAsia="楷体_GB2312" w:cs="楷体_GB2312"/>
                <w:color w:val="auto"/>
                <w:highlight w:val="none"/>
                <w:lang w:val="en-US" w:eastAsia="zh-CN" w:bidi="ar"/>
              </w:rPr>
              <w:t>针对绩效管理过程中（包括绩效目标核查、绩效监控核查和重点绩效评价）</w:t>
            </w:r>
            <w:r>
              <w:rPr>
                <w:rStyle w:val="16"/>
                <w:rFonts w:hint="eastAsia" w:ascii="楷体_GB2312" w:hAnsi="楷体_GB2312" w:eastAsia="楷体_GB2312" w:cs="楷体_GB2312"/>
                <w:color w:val="auto"/>
                <w:highlight w:val="none"/>
                <w:lang w:val="en-US" w:eastAsia="zh-CN" w:bidi="ar"/>
              </w:rPr>
              <w:t>提出的问题，发现一处未整改的</w:t>
            </w:r>
            <w:r>
              <w:rPr>
                <w:rStyle w:val="17"/>
                <w:rFonts w:hint="eastAsia" w:ascii="楷体_GB2312" w:hAnsi="楷体_GB2312" w:eastAsia="楷体_GB2312" w:cs="楷体_GB2312"/>
                <w:color w:val="auto"/>
                <w:highlight w:val="none"/>
                <w:lang w:val="en-US" w:eastAsia="zh-CN" w:bidi="ar"/>
              </w:rPr>
              <w:t>，扣2分，直至扣完。</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结果整改说明、整改报告，现场检查。</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应用反馈</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评价部门按要求及时向财政部门反馈结果应用情况。</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7"/>
                <w:rFonts w:hint="eastAsia" w:ascii="楷体_GB2312" w:hAnsi="楷体_GB2312" w:eastAsia="楷体_GB2312" w:cs="楷体_GB2312"/>
                <w:color w:val="auto"/>
                <w:highlight w:val="none"/>
                <w:lang w:val="en-US" w:eastAsia="zh-CN" w:bidi="ar"/>
              </w:rPr>
              <w:t>部门在规定时间内向财政部门</w:t>
            </w:r>
            <w:r>
              <w:rPr>
                <w:rStyle w:val="16"/>
                <w:rFonts w:hint="eastAsia" w:ascii="楷体_GB2312" w:hAnsi="楷体_GB2312" w:eastAsia="楷体_GB2312" w:cs="楷体_GB2312"/>
                <w:color w:val="auto"/>
                <w:highlight w:val="none"/>
                <w:lang w:val="en-US" w:eastAsia="zh-CN" w:bidi="ar"/>
              </w:rPr>
              <w:t>反馈应用绩效结果报告的</w:t>
            </w:r>
            <w:r>
              <w:rPr>
                <w:rStyle w:val="17"/>
                <w:rFonts w:hint="eastAsia" w:ascii="楷体_GB2312" w:hAnsi="楷体_GB2312" w:eastAsia="楷体_GB2312" w:cs="楷体_GB2312"/>
                <w:color w:val="auto"/>
                <w:highlight w:val="none"/>
                <w:lang w:val="en-US" w:eastAsia="zh-CN" w:bidi="ar"/>
              </w:rPr>
              <w:t>，得满分，否则不得分。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根据财政部门要求反馈的时间限制。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5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自评质量（10分）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自评质量（10分）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自评准确</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评价部门整体支出自评准确率。</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楷体_GB2312" w:hAnsi="楷体_GB2312" w:eastAsia="楷体_GB2312" w:cs="楷体_GB2312"/>
                <w:i w:val="0"/>
                <w:iCs w:val="0"/>
                <w:color w:val="auto"/>
                <w:sz w:val="20"/>
                <w:szCs w:val="20"/>
                <w:highlight w:val="none"/>
                <w:u w:val="none"/>
              </w:rPr>
            </w:pPr>
            <w:r>
              <w:rPr>
                <w:rStyle w:val="17"/>
                <w:rFonts w:hint="eastAsia" w:ascii="楷体_GB2312" w:hAnsi="楷体_GB2312" w:eastAsia="楷体_GB2312" w:cs="楷体_GB2312"/>
                <w:color w:val="auto"/>
                <w:highlight w:val="none"/>
                <w:lang w:val="en-US" w:eastAsia="zh-CN" w:bidi="ar"/>
              </w:rPr>
              <w:t>部门整体支出自评得分与评价组抽查得分差异在5%以内的，不扣分；在5%-10%之间的，扣4分，在10%-20%的，扣8分，在20%以上的，扣10分。（</w:t>
            </w:r>
            <w:r>
              <w:rPr>
                <w:rStyle w:val="16"/>
                <w:rFonts w:hint="eastAsia" w:ascii="楷体_GB2312" w:hAnsi="楷体_GB2312" w:eastAsia="楷体_GB2312" w:cs="楷体_GB2312"/>
                <w:color w:val="auto"/>
                <w:highlight w:val="none"/>
                <w:lang w:val="en-US" w:eastAsia="zh-CN" w:bidi="ar"/>
              </w:rPr>
              <w:t>部门在自评时，此项指标无需打分，部门自评满分为90分</w:t>
            </w:r>
            <w:r>
              <w:rPr>
                <w:rStyle w:val="17"/>
                <w:rFonts w:hint="eastAsia" w:ascii="楷体_GB2312" w:hAnsi="楷体_GB2312" w:eastAsia="楷体_GB2312" w:cs="楷体_GB2312"/>
                <w:color w:val="auto"/>
                <w:highlight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400" w:firstLineChars="200"/>
              <w:jc w:val="center"/>
              <w:rPr>
                <w:rFonts w:hint="eastAsia" w:ascii="楷体_GB2312" w:hAnsi="楷体_GB2312" w:eastAsia="楷体_GB2312" w:cs="楷体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00" w:firstLineChars="200"/>
              <w:jc w:val="center"/>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自评总分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90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left="0" w:leftChars="0" w:firstLine="400" w:firstLineChars="200"/>
              <w:jc w:val="left"/>
              <w:rPr>
                <w:rFonts w:hint="eastAsia" w:ascii="楷体_GB2312" w:hAnsi="楷体_GB2312" w:eastAsia="楷体_GB2312" w:cs="楷体_GB2312"/>
                <w:i w:val="0"/>
                <w:iCs w:val="0"/>
                <w:color w:val="auto"/>
                <w:sz w:val="20"/>
                <w:szCs w:val="20"/>
                <w:highlight w:val="none"/>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left="0" w:leftChars="0" w:firstLine="400" w:firstLineChars="200"/>
              <w:rPr>
                <w:rFonts w:hint="eastAsia" w:ascii="楷体_GB2312" w:hAnsi="楷体_GB2312" w:eastAsia="楷体_GB2312" w:cs="楷体_GB2312"/>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00" w:firstLineChars="200"/>
              <w:jc w:val="both"/>
              <w:textAlignment w:val="center"/>
              <w:rPr>
                <w:rFonts w:hint="eastAsia" w:ascii="楷体_GB2312" w:hAnsi="楷体_GB2312" w:eastAsia="楷体_GB2312" w:cs="楷体_GB2312"/>
                <w:i w:val="0"/>
                <w:iCs w:val="0"/>
                <w:color w:val="auto"/>
                <w:sz w:val="20"/>
                <w:szCs w:val="20"/>
                <w:highlight w:val="none"/>
                <w:u w:val="none"/>
              </w:rPr>
            </w:pPr>
            <w:r>
              <w:rPr>
                <w:rFonts w:hint="eastAsia" w:ascii="楷体_GB2312" w:hAnsi="楷体_GB2312" w:eastAsia="楷体_GB2312" w:cs="楷体_GB2312"/>
                <w:i w:val="0"/>
                <w:iCs w:val="0"/>
                <w:color w:val="auto"/>
                <w:kern w:val="0"/>
                <w:sz w:val="20"/>
                <w:szCs w:val="20"/>
                <w:highlight w:val="none"/>
                <w:u w:val="none"/>
                <w:lang w:val="en-US" w:eastAsia="zh-CN" w:bidi="ar"/>
              </w:rPr>
              <w:t>73</w:t>
            </w:r>
          </w:p>
        </w:tc>
      </w:tr>
    </w:tbl>
    <w:p>
      <w:pPr>
        <w:pStyle w:val="6"/>
        <w:pageBreakBefore w:val="0"/>
        <w:kinsoku/>
        <w:wordWrap/>
        <w:overflowPunct/>
        <w:topLinePunct w:val="0"/>
        <w:autoSpaceDE/>
        <w:autoSpaceDN/>
        <w:bidi w:val="0"/>
        <w:adjustRightInd/>
        <w:snapToGrid/>
        <w:spacing w:before="0" w:after="0" w:line="560" w:lineRule="exact"/>
        <w:jc w:val="both"/>
        <w:rPr>
          <w:rFonts w:hint="eastAsia" w:eastAsia="宋体"/>
          <w:color w:val="auto"/>
          <w:highlight w:val="none"/>
          <w:shd w:val="clear" w:color="auto" w:fill="FFFFFF"/>
          <w:lang w:eastAsia="zh-CN"/>
        </w:rPr>
        <w:sectPr>
          <w:pgSz w:w="16838" w:h="11906" w:orient="landscape"/>
          <w:pgMar w:top="1984" w:right="1587" w:bottom="1984" w:left="1474" w:header="851" w:footer="992" w:gutter="0"/>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b w:val="0"/>
          <w:bCs w:val="0"/>
          <w:color w:val="000000"/>
          <w:szCs w:val="32"/>
          <w:highlight w:val="none"/>
          <w:lang w:val="en-US" w:eastAsia="zh-CN"/>
        </w:rPr>
      </w:pPr>
      <w:r>
        <w:rPr>
          <w:rFonts w:hint="eastAsia" w:ascii="黑体" w:hAnsi="黑体" w:eastAsia="黑体" w:cs="黑体"/>
          <w:b w:val="0"/>
          <w:bCs w:val="0"/>
          <w:color w:val="000000"/>
          <w:szCs w:val="32"/>
          <w:highlight w:val="none"/>
          <w:lang w:val="en-US" w:eastAsia="zh-CN"/>
        </w:rPr>
        <w:t>附件2</w:t>
      </w:r>
    </w:p>
    <w:p>
      <w:pPr>
        <w:rPr>
          <w:rFonts w:hint="eastAsia"/>
        </w:rPr>
      </w:pPr>
    </w:p>
    <w:p>
      <w:pPr>
        <w:pageBreakBefore w:val="0"/>
        <w:kinsoku/>
        <w:wordWrap/>
        <w:overflowPunct/>
        <w:topLinePunct w:val="0"/>
        <w:autoSpaceDE/>
        <w:autoSpaceDN/>
        <w:bidi w:val="0"/>
        <w:adjustRightInd/>
        <w:snapToGrid/>
        <w:spacing w:line="560" w:lineRule="exact"/>
        <w:ind w:firstLine="0" w:firstLineChars="0"/>
        <w:jc w:val="center"/>
        <w:rPr>
          <w:rFonts w:hint="eastAsia" w:ascii="方正小标宋简体" w:hAnsi="方正小标宋简体" w:eastAsia="方正小标宋简体" w:cs="方正小标宋简体"/>
          <w:b w:val="0"/>
          <w:bCs w:val="0"/>
          <w:sz w:val="44"/>
          <w:szCs w:val="44"/>
          <w:highlight w:val="none"/>
          <w:shd w:val="clear" w:color="auto" w:fill="FFFFFF"/>
        </w:rPr>
      </w:pPr>
      <w:r>
        <w:rPr>
          <w:rFonts w:hint="eastAsia" w:ascii="方正小标宋简体" w:hAnsi="方正小标宋简体" w:eastAsia="方正小标宋简体" w:cs="方正小标宋简体"/>
          <w:b w:val="0"/>
          <w:bCs w:val="0"/>
          <w:color w:val="000000"/>
          <w:sz w:val="44"/>
          <w:szCs w:val="44"/>
          <w:highlight w:val="none"/>
          <w:lang w:val="en-US" w:eastAsia="zh-CN"/>
        </w:rPr>
        <w:t xml:space="preserve">  经济运行工作经费</w:t>
      </w:r>
      <w:r>
        <w:rPr>
          <w:rFonts w:hint="eastAsia" w:ascii="方正小标宋简体" w:hAnsi="方正小标宋简体" w:eastAsia="方正小标宋简体" w:cs="方正小标宋简体"/>
          <w:b w:val="0"/>
          <w:bCs w:val="0"/>
          <w:sz w:val="44"/>
          <w:szCs w:val="44"/>
          <w:highlight w:val="none"/>
          <w:shd w:val="clear" w:color="auto" w:fill="FFFFFF"/>
        </w:rPr>
        <w:t>项目绩效目标自评表</w:t>
      </w:r>
    </w:p>
    <w:p>
      <w:pPr>
        <w:pStyle w:val="2"/>
        <w:rPr>
          <w:rFonts w:hint="eastAsia"/>
          <w:lang w:eastAsia="zh-CN"/>
        </w:rPr>
      </w:pPr>
    </w:p>
    <w:tbl>
      <w:tblPr>
        <w:tblStyle w:val="9"/>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2"/>
        <w:gridCol w:w="870"/>
        <w:gridCol w:w="1265"/>
        <w:gridCol w:w="1882"/>
        <w:gridCol w:w="1674"/>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主管部门及代码</w:t>
            </w:r>
          </w:p>
        </w:tc>
        <w:tc>
          <w:tcPr>
            <w:tcW w:w="3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348001-遂宁市经济和信息化局</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实施单位</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遂宁市经济和信息化局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项目预算</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预算数：</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执行数：</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执行情况</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1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（万元）</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1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年度总体目标</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预期目标</w:t>
            </w: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4" w:hRule="atLeast"/>
        </w:trPr>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完成情况</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推动20个以上重点工业项目竣工，新培育省级专精特新企业3户以上，组织召开工业经济相关会议，开展各类调研活动4次以上，开展1次工业企业专题培训。</w:t>
            </w: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推动20个重点工业项目竣工，新培育省级专精特新企业11户，组织召开工业经济相关会议，开展各类调研活动7次，开展1次工业企业专题培训。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年度绩效指标完成情况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二级指标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三级指标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预期指标值</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数量指标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推动重点工业项目建设</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新培育省级专精特新中小企业</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3户</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质量指标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推动重点项目竣工投产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时效指标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项目时间</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成本指标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经费使用</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36万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25.31万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社会效益指标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全市规模以上个工业企业提供就业岗位</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3.5万人</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9.9万人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经济效益指标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全市规模以上工业增加增速</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8%以上</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生态效益指标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单位工业增加值能耗同比降低</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降低2%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降低8.3%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rPr>
                <w:rFonts w:hint="eastAsia" w:ascii="仿宋_GB2312" w:hAnsi="宋体" w:eastAsia="仿宋_GB2312" w:cs="仿宋_GB2312"/>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群众满意度</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cs="仿宋_GB2312"/>
                <w:i w:val="0"/>
                <w:iCs w:val="0"/>
                <w:color w:val="000000"/>
                <w:kern w:val="0"/>
                <w:sz w:val="24"/>
                <w:szCs w:val="24"/>
                <w:u w:val="none"/>
                <w:lang w:val="en-US" w:eastAsia="zh-CN" w:bidi="ar"/>
              </w:rPr>
              <w:t>95</w:t>
            </w:r>
          </w:p>
        </w:tc>
      </w:tr>
    </w:tbl>
    <w:p>
      <w:pPr>
        <w:pageBreakBefore w:val="0"/>
        <w:kinsoku/>
        <w:wordWrap/>
        <w:overflowPunct/>
        <w:topLinePunct w:val="0"/>
        <w:autoSpaceDE/>
        <w:autoSpaceDN/>
        <w:bidi w:val="0"/>
        <w:adjustRightInd/>
        <w:snapToGrid/>
        <w:spacing w:line="560" w:lineRule="exact"/>
        <w:ind w:left="0" w:leftChars="0" w:firstLine="0" w:firstLineChars="0"/>
        <w:sectPr>
          <w:pgSz w:w="11906" w:h="16838"/>
          <w:pgMar w:top="1984" w:right="1587" w:bottom="1984" w:left="1474" w:header="851" w:footer="992" w:gutter="0"/>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黑体" w:hAnsi="黑体" w:eastAsia="黑体" w:cs="黑体"/>
          <w:b w:val="0"/>
          <w:bCs w:val="0"/>
          <w:color w:val="000000"/>
          <w:szCs w:val="32"/>
          <w:highlight w:val="none"/>
          <w:lang w:val="en-US" w:eastAsia="zh-CN"/>
        </w:rPr>
      </w:pPr>
      <w:r>
        <w:rPr>
          <w:rFonts w:hint="eastAsia" w:ascii="黑体" w:hAnsi="黑体" w:eastAsia="黑体" w:cs="黑体"/>
          <w:b w:val="0"/>
          <w:bCs w:val="0"/>
          <w:color w:val="000000"/>
          <w:szCs w:val="32"/>
          <w:highlight w:val="none"/>
          <w:lang w:val="en-US" w:eastAsia="zh-CN"/>
        </w:rPr>
        <w:t>附件3</w:t>
      </w:r>
    </w:p>
    <w:p>
      <w:pPr>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1320" w:firstLineChars="300"/>
        <w:jc w:val="both"/>
        <w:textAlignment w:val="auto"/>
        <w:rPr>
          <w:rFonts w:hint="eastAsia" w:ascii="方正小标宋简体" w:hAnsi="方正小标宋简体" w:eastAsia="方正小标宋简体" w:cs="方正小标宋简体"/>
          <w:b w:val="0"/>
          <w:bCs w:val="0"/>
          <w:sz w:val="44"/>
          <w:szCs w:val="44"/>
          <w:highlight w:val="none"/>
          <w:shd w:val="clear" w:color="auto" w:fill="FFFFFF"/>
        </w:rPr>
      </w:pPr>
      <w:r>
        <w:rPr>
          <w:rFonts w:hint="eastAsia" w:ascii="方正小标宋简体" w:hAnsi="方正小标宋简体" w:eastAsia="方正小标宋简体" w:cs="方正小标宋简体"/>
          <w:b w:val="0"/>
          <w:bCs w:val="0"/>
          <w:color w:val="000000"/>
          <w:sz w:val="44"/>
          <w:szCs w:val="44"/>
          <w:highlight w:val="none"/>
          <w:lang w:val="en-US" w:eastAsia="zh-CN"/>
        </w:rPr>
        <w:t>3+3+3产业经费</w:t>
      </w:r>
      <w:r>
        <w:rPr>
          <w:rFonts w:hint="eastAsia" w:ascii="方正小标宋简体" w:hAnsi="方正小标宋简体" w:eastAsia="方正小标宋简体" w:cs="方正小标宋简体"/>
          <w:b w:val="0"/>
          <w:bCs w:val="0"/>
          <w:sz w:val="44"/>
          <w:szCs w:val="44"/>
          <w:highlight w:val="none"/>
          <w:shd w:val="clear" w:color="auto" w:fill="FFFFFF"/>
        </w:rPr>
        <w:t>项目绩效目标自评表</w:t>
      </w:r>
    </w:p>
    <w:p>
      <w:pPr>
        <w:rPr>
          <w:rFonts w:hint="eastAsia"/>
        </w:rPr>
      </w:pPr>
    </w:p>
    <w:tbl>
      <w:tblPr>
        <w:tblStyle w:val="9"/>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3"/>
        <w:gridCol w:w="875"/>
        <w:gridCol w:w="1077"/>
        <w:gridCol w:w="2092"/>
        <w:gridCol w:w="1686"/>
        <w:gridCol w:w="1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主管部门及代码</w:t>
            </w:r>
          </w:p>
        </w:tc>
        <w:tc>
          <w:tcPr>
            <w:tcW w:w="3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348001-遂宁市经济和信息化局</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实施单位</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遂宁市经济和信息化局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项目预算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预算数：</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执行情况</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（万元）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年度总体目标</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预期目标</w:t>
            </w:r>
          </w:p>
        </w:tc>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8"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完成情况</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用于3+3+3现代工业体系建设，新培育重点产业规上工业企业30户以上，开展各类产业调研活动10次以上，组织召开产业发展相关会议6次以上，编制锂电、能源化工、电子信息等重点产业“十四五”发展规划</w:t>
            </w:r>
          </w:p>
        </w:tc>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用于3+3+3现代工业体系建设，新培育重点产业规上工业企业35户，开展各类产业调研活动16次，组织召开产业发展相关会议8次，编制印发了锂电、能源化工、电子信息等重点产业“十四五”发展规划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年度绩效指标完成情况</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一级指标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二级指标</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三级指标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预期指标值</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数量指标</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重点产业新培育规上工业企业</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30户</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质量指标</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完成重点产业“十四五”发展规划文稿拟订</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3套</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时效指标</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项目时间</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成本指标</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经费使用</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22.11万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社会效益指标</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新增规模以上工业企业增加就业岗位</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600个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经济效益指标</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锂电、能源化工、电子信息三大重点产业增加值增速</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8%以上</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生态效益指标</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组织企业成功申报省级绿色工厂</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企业满意度</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≧94</w:t>
            </w:r>
          </w:p>
        </w:tc>
      </w:tr>
    </w:tbl>
    <w:p>
      <w:pPr>
        <w:pStyle w:val="2"/>
        <w:pageBreakBefore w:val="0"/>
        <w:kinsoku/>
        <w:wordWrap/>
        <w:overflowPunct/>
        <w:topLinePunct w:val="0"/>
        <w:autoSpaceDE/>
        <w:autoSpaceDN/>
        <w:bidi w:val="0"/>
        <w:adjustRightInd/>
        <w:snapToGrid/>
        <w:spacing w:line="560" w:lineRule="exact"/>
        <w:ind w:left="0" w:leftChars="0" w:firstLine="0" w:firstLineChars="0"/>
        <w:sectPr>
          <w:pgSz w:w="11906" w:h="16838"/>
          <w:pgMar w:top="1984" w:right="1587" w:bottom="1984" w:left="1474" w:header="851" w:footer="992" w:gutter="0"/>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黑体" w:hAnsi="黑体" w:eastAsia="黑体" w:cs="黑体"/>
          <w:b w:val="0"/>
          <w:bCs w:val="0"/>
          <w:color w:val="000000"/>
          <w:szCs w:val="32"/>
          <w:highlight w:val="none"/>
          <w:lang w:val="en-US" w:eastAsia="zh-CN"/>
        </w:rPr>
      </w:pPr>
      <w:r>
        <w:rPr>
          <w:rFonts w:hint="eastAsia" w:ascii="黑体" w:hAnsi="黑体" w:eastAsia="黑体" w:cs="黑体"/>
          <w:b w:val="0"/>
          <w:bCs w:val="0"/>
          <w:color w:val="000000"/>
          <w:szCs w:val="32"/>
          <w:highlight w:val="none"/>
          <w:lang w:val="en-US" w:eastAsia="zh-CN"/>
        </w:rPr>
        <w:t>附件4</w:t>
      </w:r>
    </w:p>
    <w:p>
      <w:pPr>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rPr>
      </w:pPr>
      <w:r>
        <w:rPr>
          <w:rFonts w:hint="eastAsia" w:ascii="方正小标宋简体" w:hAnsi="方正小标宋简体" w:eastAsia="方正小标宋简体" w:cs="方正小标宋简体"/>
          <w:b w:val="0"/>
          <w:bCs w:val="0"/>
          <w:color w:val="000000"/>
          <w:sz w:val="44"/>
          <w:szCs w:val="44"/>
          <w:highlight w:val="none"/>
          <w:lang w:val="en-US" w:eastAsia="zh-CN"/>
        </w:rPr>
        <w:t>民营经济和中小企业工作经费</w:t>
      </w:r>
      <w:r>
        <w:rPr>
          <w:rFonts w:hint="eastAsia" w:ascii="方正小标宋简体" w:hAnsi="方正小标宋简体" w:eastAsia="方正小标宋简体" w:cs="方正小标宋简体"/>
          <w:b w:val="0"/>
          <w:bCs w:val="0"/>
          <w:sz w:val="44"/>
          <w:szCs w:val="44"/>
          <w:highlight w:val="none"/>
          <w:shd w:val="clear" w:color="auto" w:fill="FFFFFF"/>
        </w:rPr>
        <w:t>项目绩效目标自评表</w:t>
      </w:r>
    </w:p>
    <w:p>
      <w:pPr>
        <w:rPr>
          <w:rFonts w:hint="eastAsia"/>
        </w:rPr>
      </w:pPr>
    </w:p>
    <w:tbl>
      <w:tblPr>
        <w:tblStyle w:val="9"/>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3"/>
        <w:gridCol w:w="881"/>
        <w:gridCol w:w="1084"/>
        <w:gridCol w:w="2106"/>
        <w:gridCol w:w="1697"/>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主管部门及代码</w:t>
            </w:r>
          </w:p>
        </w:tc>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348001-遂宁市经济和信息化局</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遂宁市经济和信息化局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项目预算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预算数：</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25.28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执行数：</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执行情况</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25.28</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（万元）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年度总体目标</w:t>
            </w:r>
          </w:p>
        </w:tc>
        <w:tc>
          <w:tcPr>
            <w:tcW w:w="4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预期目标</w:t>
            </w:r>
          </w:p>
        </w:tc>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4"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完成情况</w:t>
            </w:r>
          </w:p>
        </w:tc>
        <w:tc>
          <w:tcPr>
            <w:tcW w:w="4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于发布涉及民营企业中小企业政策法规信息、开展1次100人规模民营企业建立现代企业制度培训、聘请第三方机构指导，开展1次200人规模涉企政策专题培训、中小企业发展专项资金评审、粮油食品后勤保障基地项目建设等。</w:t>
            </w:r>
          </w:p>
        </w:tc>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涉及民营企业中小企业政策法规信息、制作和发放助企纾困政策宣传手册8000本；开展民营企业建立现代企业制度培训，参训人员100余人；聘请第三方机构指导企业开展建立现代企业制度工作；开展涉企政策专题培训，人员达200余人；组织专家对中小企业发展专项资金进行评审，其中粮油食品后勤保障基地项目建设上报后上级部门现未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年度绩效指标完成情况</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一级指标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二级指标</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三级指标</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预期指标值</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完成指标</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数量指标</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制作政策宣传手册</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5000本</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开展民营企业建立现代企业制度培训</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100人</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粮油食品后勤保障基地项目规划</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3个</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质量指标</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宣传手册发放</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时效指标</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项目时间</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成本指标</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经费使用</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25.28万</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18.70万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社会效益指标</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民营市场主体增速</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9%以上</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经济效益指标</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民营经济增加值占GDP比重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70%以上</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生态效益指标</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省下达单位工作增加值能耗指标任务</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企业满意度</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≧85</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≧92</w:t>
            </w:r>
          </w:p>
        </w:tc>
      </w:tr>
    </w:tbl>
    <w:p>
      <w:pPr>
        <w:pStyle w:val="2"/>
        <w:pageBreakBefore w:val="0"/>
        <w:kinsoku/>
        <w:wordWrap/>
        <w:overflowPunct/>
        <w:topLinePunct w:val="0"/>
        <w:autoSpaceDE/>
        <w:autoSpaceDN/>
        <w:bidi w:val="0"/>
        <w:adjustRightInd/>
        <w:snapToGrid/>
        <w:spacing w:line="560" w:lineRule="exact"/>
        <w:ind w:left="0" w:leftChars="0" w:firstLine="0" w:firstLineChars="0"/>
        <w:sectPr>
          <w:pgSz w:w="11906" w:h="16838"/>
          <w:pgMar w:top="1984" w:right="1587" w:bottom="1984" w:left="1474" w:header="851" w:footer="992" w:gutter="0"/>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黑体" w:hAnsi="黑体" w:eastAsia="黑体" w:cs="黑体"/>
          <w:b w:val="0"/>
          <w:bCs w:val="0"/>
          <w:color w:val="000000"/>
          <w:szCs w:val="32"/>
          <w:highlight w:val="none"/>
          <w:lang w:val="en-US" w:eastAsia="zh-CN"/>
        </w:rPr>
      </w:pPr>
      <w:r>
        <w:rPr>
          <w:rFonts w:hint="eastAsia" w:ascii="黑体" w:hAnsi="黑体" w:eastAsia="黑体" w:cs="黑体"/>
          <w:b w:val="0"/>
          <w:bCs w:val="0"/>
          <w:color w:val="000000"/>
          <w:szCs w:val="32"/>
          <w:highlight w:val="none"/>
          <w:lang w:val="en-US" w:eastAsia="zh-CN"/>
        </w:rPr>
        <w:t xml:space="preserve">附件5    </w:t>
      </w:r>
    </w:p>
    <w:p>
      <w:pPr>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1320" w:firstLineChars="300"/>
        <w:jc w:val="both"/>
        <w:textAlignment w:val="auto"/>
        <w:rPr>
          <w:rFonts w:hint="eastAsia" w:ascii="方正小标宋简体" w:hAnsi="方正小标宋简体" w:eastAsia="方正小标宋简体" w:cs="方正小标宋简体"/>
          <w:b w:val="0"/>
          <w:bCs w:val="0"/>
          <w:sz w:val="44"/>
          <w:szCs w:val="44"/>
          <w:highlight w:val="none"/>
          <w:shd w:val="clear" w:color="auto" w:fill="FFFFFF"/>
        </w:rPr>
      </w:pPr>
      <w:r>
        <w:rPr>
          <w:rFonts w:hint="eastAsia" w:ascii="方正小标宋简体" w:hAnsi="方正小标宋简体" w:eastAsia="方正小标宋简体" w:cs="方正小标宋简体"/>
          <w:b w:val="0"/>
          <w:bCs w:val="0"/>
          <w:color w:val="000000"/>
          <w:sz w:val="44"/>
          <w:szCs w:val="44"/>
          <w:highlight w:val="none"/>
          <w:lang w:val="en-US" w:eastAsia="zh-CN"/>
        </w:rPr>
        <w:t>设备购置费</w:t>
      </w:r>
      <w:r>
        <w:rPr>
          <w:rFonts w:hint="eastAsia" w:ascii="方正小标宋简体" w:hAnsi="方正小标宋简体" w:eastAsia="方正小标宋简体" w:cs="方正小标宋简体"/>
          <w:b w:val="0"/>
          <w:bCs w:val="0"/>
          <w:sz w:val="44"/>
          <w:szCs w:val="44"/>
          <w:highlight w:val="none"/>
          <w:shd w:val="clear" w:color="auto" w:fill="FFFFFF"/>
        </w:rPr>
        <w:t>项目绩效目标自评表</w:t>
      </w:r>
    </w:p>
    <w:p>
      <w:pPr>
        <w:rPr>
          <w:rFonts w:hint="eastAsia"/>
        </w:rPr>
      </w:pPr>
    </w:p>
    <w:tbl>
      <w:tblPr>
        <w:tblStyle w:val="9"/>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8"/>
        <w:gridCol w:w="858"/>
        <w:gridCol w:w="1052"/>
        <w:gridCol w:w="2046"/>
        <w:gridCol w:w="1647"/>
        <w:gridCol w:w="1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主管部门及代码</w:t>
            </w:r>
          </w:p>
        </w:tc>
        <w:tc>
          <w:tcPr>
            <w:tcW w:w="3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348001-遂宁市经济和信息化局</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实施单位</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遂宁市经济和信息化局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项目预算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预算数：</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2.42</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执行数：</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执行情况</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2.42</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（万元）</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年度总体目标</w:t>
            </w:r>
          </w:p>
        </w:tc>
        <w:tc>
          <w:tcPr>
            <w:tcW w:w="3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预期目标</w:t>
            </w:r>
          </w:p>
        </w:tc>
        <w:tc>
          <w:tcPr>
            <w:tcW w:w="3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完成情况</w:t>
            </w:r>
          </w:p>
        </w:tc>
        <w:tc>
          <w:tcPr>
            <w:tcW w:w="3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为保障机关运转，预计购买话筒8只，书柜3个，扫描仪6台。</w:t>
            </w:r>
          </w:p>
        </w:tc>
        <w:tc>
          <w:tcPr>
            <w:tcW w:w="3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购买话筒8只，扫描仪6台。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年度绩效指标完成情况</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二级指标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预期指标值</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9" w:hRule="atLeast"/>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5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完成指标</w:t>
            </w:r>
          </w:p>
        </w:tc>
        <w:tc>
          <w:tcPr>
            <w:tcW w:w="10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数量指标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话筒、书柜、扫描仪</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话筒8只，书柜3个、扫描仪6台</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话筒8只，扫描仪6台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质量指标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业务办结</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时效指标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项目时间</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成本指标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经费使用</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2.42万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社会效益指标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公众办事</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10%以上</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经济效益指标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提供运维效率，减少不必要开支</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90%以上</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群众满意度</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≧93</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w:t>
            </w:r>
          </w:p>
        </w:tc>
      </w:tr>
    </w:tbl>
    <w:p>
      <w:pPr>
        <w:pStyle w:val="2"/>
        <w:pageBreakBefore w:val="0"/>
        <w:kinsoku/>
        <w:wordWrap/>
        <w:overflowPunct/>
        <w:topLinePunct w:val="0"/>
        <w:autoSpaceDE/>
        <w:autoSpaceDN/>
        <w:bidi w:val="0"/>
        <w:adjustRightInd/>
        <w:snapToGrid/>
        <w:spacing w:line="560" w:lineRule="exact"/>
        <w:ind w:left="0" w:leftChars="0" w:firstLine="0" w:firstLineChars="0"/>
        <w:sectPr>
          <w:pgSz w:w="11906" w:h="16838"/>
          <w:pgMar w:top="1984" w:right="1587" w:bottom="1984" w:left="1474" w:header="851" w:footer="992" w:gutter="0"/>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黑体" w:hAnsi="黑体" w:eastAsia="黑体" w:cs="黑体"/>
          <w:b w:val="0"/>
          <w:bCs w:val="0"/>
          <w:color w:val="000000"/>
          <w:szCs w:val="32"/>
          <w:highlight w:val="none"/>
          <w:lang w:val="en-US" w:eastAsia="zh-CN"/>
        </w:rPr>
      </w:pPr>
      <w:r>
        <w:rPr>
          <w:rFonts w:hint="eastAsia" w:ascii="黑体" w:hAnsi="黑体" w:eastAsia="黑体" w:cs="黑体"/>
          <w:b w:val="0"/>
          <w:bCs w:val="0"/>
          <w:color w:val="000000"/>
          <w:szCs w:val="32"/>
          <w:highlight w:val="none"/>
          <w:lang w:val="en-US" w:eastAsia="zh-CN"/>
        </w:rPr>
        <w:t>附件6</w:t>
      </w:r>
    </w:p>
    <w:p>
      <w:pPr>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rPr>
      </w:pPr>
      <w:r>
        <w:rPr>
          <w:rFonts w:hint="eastAsia" w:ascii="方正小标宋简体" w:hAnsi="方正小标宋简体" w:eastAsia="方正小标宋简体" w:cs="方正小标宋简体"/>
          <w:b w:val="0"/>
          <w:bCs w:val="0"/>
          <w:color w:val="000000"/>
          <w:sz w:val="44"/>
          <w:szCs w:val="44"/>
          <w:highlight w:val="none"/>
          <w:lang w:val="en-US" w:eastAsia="zh-CN"/>
        </w:rPr>
        <w:t>第一批省级工业发展资金“红榜”激励和技改前期经费</w:t>
      </w:r>
      <w:r>
        <w:rPr>
          <w:rFonts w:hint="eastAsia" w:ascii="方正小标宋简体" w:hAnsi="方正小标宋简体" w:eastAsia="方正小标宋简体" w:cs="方正小标宋简体"/>
          <w:b w:val="0"/>
          <w:bCs w:val="0"/>
          <w:sz w:val="44"/>
          <w:szCs w:val="44"/>
          <w:highlight w:val="none"/>
          <w:shd w:val="clear" w:color="auto" w:fill="FFFFFF"/>
        </w:rPr>
        <w:t>项目绩效目标自评表</w:t>
      </w:r>
    </w:p>
    <w:p>
      <w:pPr>
        <w:rPr>
          <w:rFonts w:hint="eastAsia"/>
        </w:rPr>
      </w:pPr>
    </w:p>
    <w:tbl>
      <w:tblPr>
        <w:tblStyle w:val="9"/>
        <w:tblW w:w="88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3"/>
        <w:gridCol w:w="869"/>
        <w:gridCol w:w="1069"/>
        <w:gridCol w:w="2079"/>
        <w:gridCol w:w="1674"/>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主管部门及代码</w:t>
            </w: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348001-遂宁市经济和信息化局</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实施单位</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遂宁市经济和信息化局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项目预算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预算数：</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执行数：</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执行情况</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其中：</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（万元）</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财政拨款</w:t>
            </w: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年度总体目标</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预期目标</w:t>
            </w: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完成情况</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全市工业和技改投资平稳增长，120个以上重点项目全面完成年度投资计划。包装和储备100个以上工业及技改投资项目。</w:t>
            </w: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全市工业和技改投资平稳增长，120个以上重点项目104.36%完成年度投资计划的。包装和储备100个以上工业及技改投资项目。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年度绩效指标完成情况</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一级指标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二级指标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三级指标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预期指标值</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6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完成指标</w:t>
            </w:r>
          </w:p>
        </w:tc>
        <w:tc>
          <w:tcPr>
            <w:tcW w:w="106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数量指标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新增规模以上工业企业数</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6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6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实施市级重点工业项目</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120个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6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质量指标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包装储备工业及技改项目</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6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工业投资同比增速</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6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时效指标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项目时间</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6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成本指标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经费使用</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6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经济效益指标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技改投资增速同比增速</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3%以上</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6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可持续发展指标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促进企业创新能力提升情况</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2%以上</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企业满意度</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≧93</w:t>
            </w:r>
          </w:p>
        </w:tc>
      </w:tr>
    </w:tbl>
    <w:p>
      <w:pPr>
        <w:pStyle w:val="2"/>
        <w:pageBreakBefore w:val="0"/>
        <w:kinsoku/>
        <w:wordWrap/>
        <w:overflowPunct/>
        <w:topLinePunct w:val="0"/>
        <w:autoSpaceDE/>
        <w:autoSpaceDN/>
        <w:bidi w:val="0"/>
        <w:adjustRightInd/>
        <w:snapToGrid/>
        <w:spacing w:line="560" w:lineRule="exact"/>
        <w:ind w:left="0" w:leftChars="0" w:firstLine="0" w:firstLineChars="0"/>
        <w:sectPr>
          <w:pgSz w:w="11906" w:h="16838"/>
          <w:pgMar w:top="1984" w:right="1587" w:bottom="1984" w:left="1474" w:header="851" w:footer="992" w:gutter="0"/>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黑体" w:hAnsi="黑体" w:eastAsia="黑体" w:cs="黑体"/>
          <w:b w:val="0"/>
          <w:bCs w:val="0"/>
          <w:color w:val="000000"/>
          <w:szCs w:val="32"/>
          <w:highlight w:val="none"/>
          <w:lang w:val="en-US" w:eastAsia="zh-CN"/>
        </w:rPr>
      </w:pPr>
      <w:r>
        <w:rPr>
          <w:rFonts w:hint="eastAsia" w:ascii="黑体" w:hAnsi="黑体" w:eastAsia="黑体" w:cs="黑体"/>
          <w:b w:val="0"/>
          <w:bCs w:val="0"/>
          <w:color w:val="000000"/>
          <w:szCs w:val="32"/>
          <w:highlight w:val="none"/>
          <w:lang w:val="en-US" w:eastAsia="zh-CN"/>
        </w:rPr>
        <w:t>附件7</w:t>
      </w:r>
    </w:p>
    <w:p>
      <w:pPr>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rPr>
      </w:pPr>
      <w:r>
        <w:rPr>
          <w:rFonts w:hint="eastAsia" w:ascii="方正小标宋简体" w:hAnsi="方正小标宋简体" w:eastAsia="方正小标宋简体" w:cs="方正小标宋简体"/>
          <w:b w:val="0"/>
          <w:bCs w:val="0"/>
          <w:color w:val="000000"/>
          <w:sz w:val="44"/>
          <w:szCs w:val="44"/>
          <w:highlight w:val="none"/>
          <w:lang w:val="en-US" w:eastAsia="zh-CN"/>
        </w:rPr>
        <w:t>省级工业发展资金（锂电产业特色优势试点）</w:t>
      </w:r>
      <w:r>
        <w:rPr>
          <w:rFonts w:hint="eastAsia" w:ascii="方正小标宋简体" w:hAnsi="方正小标宋简体" w:eastAsia="方正小标宋简体" w:cs="方正小标宋简体"/>
          <w:b w:val="0"/>
          <w:bCs w:val="0"/>
          <w:sz w:val="44"/>
          <w:szCs w:val="44"/>
          <w:highlight w:val="none"/>
          <w:shd w:val="clear" w:color="auto" w:fill="FFFFFF"/>
        </w:rPr>
        <w:t>项目绩效目标自评表</w:t>
      </w:r>
    </w:p>
    <w:p>
      <w:pPr>
        <w:rPr>
          <w:rFonts w:hint="eastAsia"/>
        </w:rPr>
      </w:pPr>
    </w:p>
    <w:tbl>
      <w:tblPr>
        <w:tblStyle w:val="9"/>
        <w:tblW w:w="9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3"/>
        <w:gridCol w:w="910"/>
        <w:gridCol w:w="1121"/>
        <w:gridCol w:w="2176"/>
        <w:gridCol w:w="1754"/>
        <w:gridCol w:w="1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主管部门及代码</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348001-遂宁市经济和信息化局</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实施单位</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遂宁市经济和信息化局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项目预算</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预算数：</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执行数：</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368.89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执行情况</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其中：</w:t>
            </w:r>
          </w:p>
        </w:tc>
        <w:tc>
          <w:tcPr>
            <w:tcW w:w="2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400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其中：</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368.89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（万元）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财政拨款</w:t>
            </w:r>
          </w:p>
        </w:tc>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财政拨款</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其他资金</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其他资金</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年度总体目标</w:t>
            </w:r>
          </w:p>
        </w:tc>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预期目标</w:t>
            </w:r>
          </w:p>
        </w:tc>
        <w:tc>
          <w:tcPr>
            <w:tcW w:w="3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完成情况</w:t>
            </w:r>
          </w:p>
        </w:tc>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围绕“1310”探索实践，完成年度试点任务，同时加强“地标”产业后续项目储备和“链长”企业高质量发展。</w:t>
            </w:r>
          </w:p>
        </w:tc>
        <w:tc>
          <w:tcPr>
            <w:tcW w:w="3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2022年全市锂电产业实现增加值同比增长304.6%，产业规模占全市工业比重达32%、实现税收占全市税收收入比重达21%，成为遂宁“3+3+3”现代工业体系第一发展动能。。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年度绩效指标完成情况</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一级指标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二级指标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三级指标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预期指标值</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完成指标</w:t>
            </w:r>
          </w:p>
        </w:tc>
        <w:tc>
          <w:tcPr>
            <w:tcW w:w="11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数量指标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当年全市制造业增加值总量</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580亿元</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618.98亿元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当年园区营业收入数量</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3000亿元</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3300亿元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质量指标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产业生态建设引进企业强链补链</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1批</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16个项目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成功新获批国、省级各类新型创新平台</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2个</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时效指标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项目时间</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12月</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成本指标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经费使用</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400万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368.89万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生态效益指标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当期工业绿色低碳循环发展情况提升</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10%以上</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经济效益指标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当年特色优势产业营业收入数量</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400亿元</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542亿元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带动工业投资增速</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可持续发展指标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促进企业创新能力提升情况</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科技创新综合水平指数提升3.5个百分点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当期制造业增加值/GDP增加</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2022年制造业增加值占GDP比重为28.2%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满意度指标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满意度指标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服务企业对政策满意程度</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≧90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≧90</w:t>
            </w:r>
          </w:p>
        </w:tc>
      </w:tr>
    </w:tbl>
    <w:p>
      <w:pPr>
        <w:pStyle w:val="2"/>
        <w:pageBreakBefore w:val="0"/>
        <w:kinsoku/>
        <w:wordWrap/>
        <w:overflowPunct/>
        <w:topLinePunct w:val="0"/>
        <w:autoSpaceDE/>
        <w:autoSpaceDN/>
        <w:bidi w:val="0"/>
        <w:adjustRightInd/>
        <w:snapToGrid/>
        <w:spacing w:line="560" w:lineRule="exact"/>
        <w:ind w:left="0" w:leftChars="0" w:firstLine="0" w:firstLineChars="0"/>
      </w:pPr>
    </w:p>
    <w:sectPr>
      <w:pgSz w:w="11906" w:h="16838"/>
      <w:pgMar w:top="1984" w:right="1587"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YzVhNjExZjMxYWEwNTE5OWVjOWU3NzUxNjdlNTQifQ=="/>
  </w:docVars>
  <w:rsids>
    <w:rsidRoot w:val="00000000"/>
    <w:rsid w:val="03B16423"/>
    <w:rsid w:val="079DA30A"/>
    <w:rsid w:val="08553857"/>
    <w:rsid w:val="0A2428E3"/>
    <w:rsid w:val="21E66848"/>
    <w:rsid w:val="29AC432B"/>
    <w:rsid w:val="3248307B"/>
    <w:rsid w:val="38B69D9A"/>
    <w:rsid w:val="403429A2"/>
    <w:rsid w:val="42C404C0"/>
    <w:rsid w:val="52273ED8"/>
    <w:rsid w:val="55394861"/>
    <w:rsid w:val="56551179"/>
    <w:rsid w:val="5AE119F9"/>
    <w:rsid w:val="5D1FCC13"/>
    <w:rsid w:val="5F774A28"/>
    <w:rsid w:val="6BBE08A4"/>
    <w:rsid w:val="6EB31F33"/>
    <w:rsid w:val="6FFED5EE"/>
    <w:rsid w:val="7BB9E97F"/>
    <w:rsid w:val="7BE19DD4"/>
    <w:rsid w:val="7DF74356"/>
    <w:rsid w:val="7F4FD265"/>
    <w:rsid w:val="B739D55E"/>
    <w:rsid w:val="BEFDC30A"/>
    <w:rsid w:val="CBFB747E"/>
    <w:rsid w:val="D6673C0E"/>
    <w:rsid w:val="DEFF18AD"/>
    <w:rsid w:val="EAFF3173"/>
    <w:rsid w:val="EBED2E68"/>
    <w:rsid w:val="F3EF8C7F"/>
    <w:rsid w:val="F95E319F"/>
    <w:rsid w:val="FAF7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ascii="Times New Roman" w:hAnsi="Times New Roman" w:eastAsia="宋体" w:cs="Times New Roman"/>
      <w:szCs w:val="32"/>
    </w:rPr>
  </w:style>
  <w:style w:type="paragraph" w:styleId="5">
    <w:name w:val="Salutation"/>
    <w:basedOn w:val="1"/>
    <w:next w:val="1"/>
    <w:qFormat/>
    <w:uiPriority w:val="99"/>
  </w:style>
  <w:style w:type="paragraph" w:styleId="6">
    <w:name w:val="Subtitle"/>
    <w:basedOn w:val="1"/>
    <w:next w:val="1"/>
    <w:qFormat/>
    <w:uiPriority w:val="0"/>
    <w:pPr>
      <w:spacing w:before="240" w:after="60" w:line="312" w:lineRule="auto"/>
      <w:jc w:val="center"/>
      <w:outlineLvl w:val="1"/>
    </w:pPr>
    <w:rPr>
      <w:rFonts w:ascii="等线 Light" w:hAnsi="等线 Light" w:eastAsia="宋体" w:cs="Times New Roman"/>
      <w:b/>
      <w:bCs/>
      <w:kern w:val="28"/>
      <w:szCs w:val="32"/>
    </w:rPr>
  </w:style>
  <w:style w:type="paragraph" w:styleId="7">
    <w:name w:val="table of figures"/>
    <w:basedOn w:val="1"/>
    <w:next w:val="1"/>
    <w:unhideWhenUsed/>
    <w:qFormat/>
    <w:uiPriority w:val="0"/>
    <w:pPr>
      <w:ind w:left="200" w:leftChars="200" w:hanging="200" w:hanging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报告正文"/>
    <w:basedOn w:val="1"/>
    <w:qFormat/>
    <w:uiPriority w:val="0"/>
    <w:pPr>
      <w:spacing w:line="600" w:lineRule="exact"/>
      <w:ind w:firstLine="200" w:firstLineChars="200"/>
    </w:pPr>
    <w:rPr>
      <w:rFonts w:eastAsia="仿宋"/>
      <w:kern w:val="0"/>
      <w:szCs w:val="28"/>
      <w:lang w:val="zh-CN"/>
    </w:rPr>
  </w:style>
  <w:style w:type="paragraph" w:customStyle="1" w:styleId="12">
    <w:name w:val="汇政正文-最终版"/>
    <w:basedOn w:val="1"/>
    <w:qFormat/>
    <w:uiPriority w:val="3"/>
    <w:pPr>
      <w:spacing w:line="600" w:lineRule="exact"/>
      <w:ind w:firstLine="200" w:firstLineChars="200"/>
    </w:pPr>
    <w:rPr>
      <w:kern w:val="0"/>
      <w:szCs w:val="28"/>
      <w:lang w:val="zh-CN"/>
    </w:rPr>
  </w:style>
  <w:style w:type="paragraph" w:customStyle="1" w:styleId="13">
    <w:name w:val="图表名"/>
    <w:basedOn w:val="1"/>
    <w:qFormat/>
    <w:uiPriority w:val="4"/>
    <w:pPr>
      <w:spacing w:before="60" w:after="60"/>
      <w:jc w:val="center"/>
    </w:pPr>
    <w:rPr>
      <w:b/>
      <w:kern w:val="0"/>
      <w:sz w:val="24"/>
      <w:szCs w:val="28"/>
    </w:rPr>
  </w:style>
  <w:style w:type="paragraph" w:customStyle="1" w:styleId="14">
    <w:name w:val="表文字"/>
    <w:basedOn w:val="11"/>
    <w:qFormat/>
    <w:uiPriority w:val="5"/>
    <w:pPr>
      <w:widowControl/>
      <w:pBdr>
        <w:between w:val="single" w:color="auto" w:sz="4" w:space="1"/>
      </w:pBdr>
      <w:spacing w:line="320" w:lineRule="exact"/>
      <w:ind w:firstLine="0" w:firstLineChars="0"/>
      <w:jc w:val="center"/>
    </w:pPr>
    <w:rPr>
      <w:rFonts w:cs="宋体"/>
      <w:bCs/>
      <w:color w:val="000000"/>
      <w:sz w:val="22"/>
    </w:rPr>
  </w:style>
  <w:style w:type="character" w:customStyle="1" w:styleId="15">
    <w:name w:val="font21"/>
    <w:basedOn w:val="10"/>
    <w:qFormat/>
    <w:uiPriority w:val="0"/>
    <w:rPr>
      <w:rFonts w:hint="eastAsia" w:ascii="宋体" w:hAnsi="宋体" w:eastAsia="宋体" w:cs="宋体"/>
      <w:color w:val="000000"/>
      <w:sz w:val="20"/>
      <w:szCs w:val="20"/>
      <w:u w:val="none"/>
    </w:rPr>
  </w:style>
  <w:style w:type="character" w:customStyle="1" w:styleId="16">
    <w:name w:val="font101"/>
    <w:basedOn w:val="10"/>
    <w:qFormat/>
    <w:uiPriority w:val="0"/>
    <w:rPr>
      <w:rFonts w:hint="eastAsia" w:ascii="宋体" w:hAnsi="宋体" w:eastAsia="宋体" w:cs="宋体"/>
      <w:color w:val="FF0000"/>
      <w:sz w:val="20"/>
      <w:szCs w:val="20"/>
      <w:u w:val="none"/>
    </w:rPr>
  </w:style>
  <w:style w:type="character" w:customStyle="1" w:styleId="17">
    <w:name w:val="font8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9594</Words>
  <Characters>10755</Characters>
  <Lines>0</Lines>
  <Paragraphs>0</Paragraphs>
  <TotalTime>19</TotalTime>
  <ScaleCrop>false</ScaleCrop>
  <LinksUpToDate>false</LinksUpToDate>
  <CharactersWithSpaces>11293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user</cp:lastModifiedBy>
  <dcterms:modified xsi:type="dcterms:W3CDTF">2023-08-28T17:25:30Z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D16052626FCC422CB62669DAC01FC530_12</vt:lpwstr>
  </property>
</Properties>
</file>