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1725"/>
            <wp:effectExtent l="0" t="0" r="3810" b="15875"/>
            <wp:docPr id="1" name="图片 1" descr="遂经信〔2017〕208号关于转发省经信委关于组织开展2018年资金项目征集工作的通知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遂经信〔2017〕208号关于转发省经信委关于组织开展2018年资金项目征集工作的通知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1725"/>
            <wp:effectExtent l="0" t="0" r="3810" b="15875"/>
            <wp:docPr id="2" name="图片 2" descr="遂经信〔2017〕208号关于转发省经信委关于组织开展2018年资金项目征集工作的通知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遂经信〔2017〕208号关于转发省经信委关于组织开展2018年资金项目征集工作的通知2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600B66"/>
    <w:rsid w:val="3FF42A7F"/>
    <w:rsid w:val="7D600B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kern w:val="2"/>
      <w:sz w:val="32"/>
      <w:szCs w:val="3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2017-11-22T07:36:00Z</dcterms:created>
  <dc:creator>范特西</dc:creator>
  <cp:lastModifiedBy>范特西</cp:lastModifiedBy>
  <dcterms:modified xsi:type="dcterms:W3CDTF">2017-11-22T07:37:25Z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