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E6DBF">
      <w:pPr>
        <w:pStyle w:val="8"/>
        <w:spacing w:before="93"/>
        <w:rPr>
          <w:rFonts w:ascii="Times New Roman" w:eastAsia="方正小标宋简体"/>
          <w:kern w:val="2"/>
          <w:sz w:val="72"/>
          <w:szCs w:val="72"/>
        </w:rPr>
      </w:pPr>
      <w:bookmarkStart w:id="0" w:name="_Toc15306267"/>
      <w:bookmarkStart w:id="1" w:name="_Toc15377193"/>
      <w:bookmarkStart w:id="2" w:name="_Toc15378441"/>
      <w:bookmarkStart w:id="3" w:name="_Toc15396475"/>
      <w:bookmarkStart w:id="4" w:name="_Toc15377425"/>
      <w:bookmarkStart w:id="5" w:name="_Toc15396597"/>
    </w:p>
    <w:p w14:paraId="104196EE">
      <w:pPr>
        <w:pStyle w:val="8"/>
        <w:spacing w:before="93"/>
        <w:rPr>
          <w:rFonts w:ascii="Times New Roman" w:eastAsia="方正小标宋简体"/>
          <w:kern w:val="2"/>
          <w:sz w:val="72"/>
          <w:szCs w:val="72"/>
        </w:rPr>
      </w:pPr>
    </w:p>
    <w:p w14:paraId="3854CB84">
      <w:pPr>
        <w:pStyle w:val="8"/>
        <w:spacing w:before="93"/>
        <w:rPr>
          <w:rFonts w:ascii="Times New Roman" w:eastAsia="方正小标宋简体"/>
          <w:kern w:val="2"/>
          <w:sz w:val="72"/>
          <w:szCs w:val="72"/>
        </w:rPr>
      </w:pPr>
    </w:p>
    <w:p w14:paraId="34B1E0A7">
      <w:pPr>
        <w:pStyle w:val="8"/>
        <w:spacing w:before="93"/>
        <w:jc w:val="center"/>
        <w:rPr>
          <w:rFonts w:ascii="Times New Roman" w:eastAsia="方正小标宋简体"/>
          <w:kern w:val="2"/>
          <w:sz w:val="44"/>
          <w:szCs w:val="44"/>
        </w:rPr>
      </w:pPr>
      <w:r>
        <w:rPr>
          <w:rFonts w:ascii="Times New Roman" w:eastAsia="方正小标宋简体"/>
          <w:kern w:val="2"/>
          <w:sz w:val="44"/>
          <w:szCs w:val="44"/>
        </w:rPr>
        <w:t>2024年度</w:t>
      </w:r>
    </w:p>
    <w:p w14:paraId="583A09A3">
      <w:pPr>
        <w:pStyle w:val="8"/>
        <w:spacing w:before="93"/>
        <w:jc w:val="center"/>
        <w:rPr>
          <w:rFonts w:ascii="Times New Roman" w:eastAsia="方正小标宋简体"/>
          <w:kern w:val="2"/>
          <w:sz w:val="44"/>
          <w:szCs w:val="44"/>
        </w:rPr>
      </w:pPr>
      <w:r>
        <w:rPr>
          <w:rFonts w:ascii="Times New Roman" w:eastAsia="方正小标宋简体"/>
          <w:kern w:val="2"/>
          <w:sz w:val="44"/>
          <w:szCs w:val="44"/>
        </w:rPr>
        <w:t>四川省遂宁市经济和信息化局部门</w:t>
      </w:r>
    </w:p>
    <w:p w14:paraId="13554DB7">
      <w:pPr>
        <w:pStyle w:val="8"/>
        <w:spacing w:before="93"/>
        <w:jc w:val="center"/>
        <w:rPr>
          <w:rFonts w:ascii="Times New Roman" w:eastAsia="方正小标宋简体"/>
          <w:kern w:val="2"/>
          <w:sz w:val="44"/>
          <w:szCs w:val="44"/>
        </w:rPr>
      </w:pPr>
      <w:r>
        <w:rPr>
          <w:rFonts w:ascii="Times New Roman" w:eastAsia="方正小标宋简体"/>
          <w:kern w:val="2"/>
          <w:sz w:val="44"/>
          <w:szCs w:val="44"/>
        </w:rPr>
        <w:t>决算公开</w:t>
      </w:r>
    </w:p>
    <w:p w14:paraId="62AF5275">
      <w:pPr>
        <w:spacing w:line="600" w:lineRule="exact"/>
        <w:jc w:val="center"/>
        <w:rPr>
          <w:rFonts w:eastAsia="方正小标宋简体"/>
          <w:sz w:val="72"/>
          <w:szCs w:val="72"/>
        </w:rPr>
      </w:pPr>
    </w:p>
    <w:p w14:paraId="44EA10E6">
      <w:pPr>
        <w:pStyle w:val="2"/>
        <w:outlineLvl w:val="9"/>
        <w:rPr>
          <w:rFonts w:ascii="Times New Roman" w:hAnsi="Times New Roman"/>
        </w:rPr>
        <w:sectPr>
          <w:headerReference r:id="rId4"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4F67015E"/>
    <w:bookmarkEnd w:id="0"/>
    <w:bookmarkEnd w:id="1"/>
    <w:bookmarkEnd w:id="2"/>
    <w:bookmarkEnd w:id="3"/>
    <w:bookmarkEnd w:id="4"/>
    <w:bookmarkEnd w:id="5"/>
    <w:p w14:paraId="1A858DD8">
      <w:pPr>
        <w:widowControl/>
        <w:jc w:val="center"/>
        <w:rPr>
          <w:rFonts w:eastAsia="黑体"/>
          <w:sz w:val="48"/>
          <w:szCs w:val="48"/>
        </w:rPr>
      </w:pPr>
      <w:r>
        <w:rPr>
          <w:rFonts w:eastAsia="黑体"/>
          <w:sz w:val="48"/>
          <w:szCs w:val="48"/>
        </w:rPr>
        <w:t>目录</w:t>
      </w:r>
    </w:p>
    <w:p w14:paraId="704F1CC2">
      <w:pPr>
        <w:widowControl/>
        <w:jc w:val="center"/>
        <w:rPr>
          <w:rFonts w:eastAsia="黑体"/>
          <w:sz w:val="28"/>
          <w:szCs w:val="28"/>
        </w:rPr>
      </w:pPr>
    </w:p>
    <w:p w14:paraId="40531658">
      <w:pPr>
        <w:pStyle w:val="14"/>
        <w:rPr>
          <w:rFonts w:ascii="Times New Roman" w:hAnsi="Times New Roman" w:eastAsia="仿宋_GB2312"/>
          <w:sz w:val="32"/>
          <w:szCs w:val="32"/>
        </w:rPr>
      </w:pPr>
      <w:r>
        <w:rPr>
          <w:rFonts w:ascii="Times New Roman" w:hAnsi="Times New Roman" w:eastAsia="仿宋_GB2312"/>
          <w:sz w:val="32"/>
          <w:szCs w:val="32"/>
        </w:rPr>
        <w:t>公开时间：20</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年8 月</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日</w:t>
      </w:r>
    </w:p>
    <w:p w14:paraId="50E5B598"/>
    <w:p w14:paraId="5DABF6BE"/>
    <w:sdt>
      <w:sdtPr>
        <w:id w:val="147460912"/>
        <w:docPartObj>
          <w:docPartGallery w:val="Table of Contents"/>
          <w:docPartUnique/>
        </w:docPartObj>
      </w:sdtPr>
      <w:sdtEndPr>
        <w:rPr>
          <w:b/>
        </w:rPr>
      </w:sdtEndPr>
      <w:sdtContent>
        <w:p w14:paraId="02513A01"/>
        <w:p w14:paraId="0808D843">
          <w:pPr>
            <w:pStyle w:val="14"/>
            <w:tabs>
              <w:tab w:val="right" w:leader="hyphen" w:pos="8306"/>
              <w:tab w:val="clear" w:pos="8296"/>
            </w:tabs>
            <w:rPr>
              <w:rFonts w:ascii="Times New Roman" w:hAnsi="Times New Roman" w:eastAsia="仿宋_GB2312"/>
            </w:rPr>
          </w:pPr>
          <w:r>
            <w:rPr>
              <w:rFonts w:ascii="Times New Roman" w:hAnsi="Times New Roman" w:eastAsia="仿宋_GB2312"/>
              <w:b/>
            </w:rPr>
            <w:fldChar w:fldCharType="begin"/>
          </w:r>
          <w:r>
            <w:rPr>
              <w:rFonts w:ascii="Times New Roman" w:hAnsi="Times New Roman" w:eastAsia="仿宋_GB2312"/>
              <w:b/>
            </w:rPr>
            <w:instrText xml:space="preserve">TOC \o "1-2" \h \u </w:instrText>
          </w:r>
          <w:r>
            <w:rPr>
              <w:rFonts w:ascii="Times New Roman" w:hAnsi="Times New Roman" w:eastAsia="仿宋_GB2312"/>
              <w:b/>
            </w:rPr>
            <w:fldChar w:fldCharType="separate"/>
          </w:r>
          <w:r>
            <w:fldChar w:fldCharType="begin"/>
          </w:r>
          <w:r>
            <w:instrText xml:space="preserve"> HYPERLINK \l "_Toc27237" </w:instrText>
          </w:r>
          <w:r>
            <w:fldChar w:fldCharType="separate"/>
          </w:r>
          <w:r>
            <w:rPr>
              <w:rFonts w:ascii="Times New Roman" w:hAnsi="仿宋_GB2312" w:eastAsia="仿宋_GB2312"/>
              <w:b/>
              <w:bCs/>
            </w:rPr>
            <w:t>第一部分</w:t>
          </w:r>
          <w:r>
            <w:rPr>
              <w:rFonts w:ascii="Times New Roman" w:hAnsi="Times New Roman" w:eastAsia="仿宋_GB2312"/>
              <w:b/>
              <w:bCs/>
            </w:rPr>
            <w:t xml:space="preserve">  </w:t>
          </w:r>
          <w:r>
            <w:rPr>
              <w:rFonts w:ascii="Times New Roman" w:hAnsi="仿宋_GB2312" w:eastAsia="仿宋_GB2312"/>
              <w:b/>
              <w:bCs/>
            </w:rPr>
            <w:t>部门概况</w:t>
          </w:r>
          <w:r>
            <w:rPr>
              <w:rFonts w:ascii="Times New Roman" w:hAnsi="Times New Roman" w:eastAsia="仿宋_GB2312"/>
              <w:b/>
              <w:bCs/>
            </w:rPr>
            <w:tab/>
          </w:r>
          <w:r>
            <w:rPr>
              <w:rFonts w:ascii="Times New Roman" w:hAnsi="Times New Roman" w:eastAsia="仿宋_GB2312"/>
              <w:b/>
              <w:bCs/>
            </w:rPr>
            <w:fldChar w:fldCharType="begin"/>
          </w:r>
          <w:r>
            <w:rPr>
              <w:rFonts w:ascii="Times New Roman" w:hAnsi="Times New Roman" w:eastAsia="仿宋_GB2312"/>
              <w:b/>
              <w:bCs/>
            </w:rPr>
            <w:instrText xml:space="preserve"> PAGEREF _Toc27237 \h </w:instrText>
          </w:r>
          <w:r>
            <w:rPr>
              <w:rFonts w:ascii="Times New Roman" w:hAnsi="Times New Roman" w:eastAsia="仿宋_GB2312"/>
              <w:b/>
              <w:bCs/>
            </w:rPr>
            <w:fldChar w:fldCharType="separate"/>
          </w:r>
          <w:r>
            <w:rPr>
              <w:rFonts w:ascii="Times New Roman" w:hAnsi="Times New Roman" w:eastAsia="仿宋_GB2312"/>
              <w:b/>
              <w:bCs/>
            </w:rPr>
            <w:t>- 3 -</w:t>
          </w:r>
          <w:r>
            <w:rPr>
              <w:rFonts w:ascii="Times New Roman" w:hAnsi="Times New Roman" w:eastAsia="仿宋_GB2312"/>
              <w:b/>
              <w:bCs/>
            </w:rPr>
            <w:fldChar w:fldCharType="end"/>
          </w:r>
          <w:r>
            <w:rPr>
              <w:rFonts w:ascii="Times New Roman" w:hAnsi="Times New Roman" w:eastAsia="仿宋_GB2312"/>
              <w:b/>
              <w:bCs/>
            </w:rPr>
            <w:fldChar w:fldCharType="end"/>
          </w:r>
        </w:p>
        <w:p w14:paraId="485B3DBD">
          <w:pPr>
            <w:pStyle w:val="17"/>
            <w:tabs>
              <w:tab w:val="right" w:leader="hyphen" w:pos="8306"/>
              <w:tab w:val="clear" w:pos="8296"/>
            </w:tabs>
            <w:rPr>
              <w:rFonts w:eastAsia="仿宋_GB2312"/>
              <w:sz w:val="28"/>
              <w:szCs w:val="28"/>
            </w:rPr>
          </w:pPr>
          <w:r>
            <w:fldChar w:fldCharType="begin"/>
          </w:r>
          <w:r>
            <w:instrText xml:space="preserve"> HYPERLINK \l "_Toc32574" </w:instrText>
          </w:r>
          <w:r>
            <w:fldChar w:fldCharType="separate"/>
          </w:r>
          <w:r>
            <w:rPr>
              <w:rFonts w:hAnsi="仿宋_GB2312" w:eastAsia="仿宋_GB2312"/>
              <w:sz w:val="28"/>
              <w:szCs w:val="28"/>
            </w:rPr>
            <w:t>一、</w:t>
          </w:r>
          <w:r>
            <w:rPr>
              <w:rFonts w:eastAsia="仿宋_GB2312"/>
              <w:sz w:val="28"/>
              <w:szCs w:val="28"/>
            </w:rPr>
            <w:t xml:space="preserve"> </w:t>
          </w:r>
          <w:r>
            <w:rPr>
              <w:rFonts w:hAnsi="仿宋_GB2312" w:eastAsia="仿宋_GB2312"/>
              <w:sz w:val="28"/>
              <w:szCs w:val="28"/>
            </w:rPr>
            <w:t>部门职责</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_Toc32574 \h </w:instrText>
          </w:r>
          <w:r>
            <w:rPr>
              <w:rFonts w:eastAsia="仿宋_GB2312"/>
              <w:sz w:val="28"/>
              <w:szCs w:val="28"/>
            </w:rPr>
            <w:fldChar w:fldCharType="separate"/>
          </w:r>
          <w:r>
            <w:rPr>
              <w:rFonts w:eastAsia="仿宋_GB2312"/>
              <w:sz w:val="28"/>
              <w:szCs w:val="28"/>
            </w:rPr>
            <w:t>- 3 -</w:t>
          </w:r>
          <w:r>
            <w:rPr>
              <w:rFonts w:eastAsia="仿宋_GB2312"/>
              <w:sz w:val="28"/>
              <w:szCs w:val="28"/>
            </w:rPr>
            <w:fldChar w:fldCharType="end"/>
          </w:r>
          <w:r>
            <w:rPr>
              <w:rFonts w:eastAsia="仿宋_GB2312"/>
              <w:sz w:val="28"/>
              <w:szCs w:val="28"/>
            </w:rPr>
            <w:fldChar w:fldCharType="end"/>
          </w:r>
        </w:p>
        <w:p w14:paraId="2B9C44DC">
          <w:pPr>
            <w:pStyle w:val="17"/>
            <w:tabs>
              <w:tab w:val="right" w:leader="hyphen" w:pos="8306"/>
              <w:tab w:val="clear" w:pos="8296"/>
            </w:tabs>
            <w:rPr>
              <w:rFonts w:eastAsia="仿宋_GB2312"/>
              <w:sz w:val="28"/>
              <w:szCs w:val="28"/>
            </w:rPr>
          </w:pPr>
          <w:r>
            <w:fldChar w:fldCharType="begin"/>
          </w:r>
          <w:r>
            <w:instrText xml:space="preserve"> HYPERLINK \l "_Toc11601" </w:instrText>
          </w:r>
          <w:r>
            <w:fldChar w:fldCharType="separate"/>
          </w:r>
          <w:r>
            <w:rPr>
              <w:rFonts w:hAnsi="仿宋_GB2312" w:eastAsia="仿宋_GB2312"/>
              <w:sz w:val="28"/>
              <w:szCs w:val="28"/>
            </w:rPr>
            <w:t>二、</w:t>
          </w:r>
          <w:r>
            <w:rPr>
              <w:rFonts w:eastAsia="仿宋_GB2312"/>
              <w:sz w:val="28"/>
              <w:szCs w:val="28"/>
            </w:rPr>
            <w:t xml:space="preserve"> </w:t>
          </w:r>
          <w:r>
            <w:rPr>
              <w:rFonts w:hAnsi="仿宋_GB2312" w:eastAsia="仿宋_GB2312"/>
              <w:sz w:val="28"/>
              <w:szCs w:val="28"/>
            </w:rPr>
            <w:t>机构设置</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_Toc11601 \h </w:instrText>
          </w:r>
          <w:r>
            <w:rPr>
              <w:rFonts w:eastAsia="仿宋_GB2312"/>
              <w:sz w:val="28"/>
              <w:szCs w:val="28"/>
            </w:rPr>
            <w:fldChar w:fldCharType="separate"/>
          </w:r>
          <w:r>
            <w:rPr>
              <w:rFonts w:eastAsia="仿宋_GB2312"/>
              <w:sz w:val="28"/>
              <w:szCs w:val="28"/>
            </w:rPr>
            <w:t>- 6 -</w:t>
          </w:r>
          <w:r>
            <w:rPr>
              <w:rFonts w:eastAsia="仿宋_GB2312"/>
              <w:sz w:val="28"/>
              <w:szCs w:val="28"/>
            </w:rPr>
            <w:fldChar w:fldCharType="end"/>
          </w:r>
          <w:r>
            <w:rPr>
              <w:rFonts w:eastAsia="仿宋_GB2312"/>
              <w:sz w:val="28"/>
              <w:szCs w:val="28"/>
            </w:rPr>
            <w:fldChar w:fldCharType="end"/>
          </w:r>
        </w:p>
        <w:p w14:paraId="35D5A987">
          <w:pPr>
            <w:pStyle w:val="14"/>
            <w:tabs>
              <w:tab w:val="right" w:leader="hyphen" w:pos="8306"/>
              <w:tab w:val="clear" w:pos="8296"/>
            </w:tabs>
            <w:rPr>
              <w:rFonts w:ascii="Times New Roman" w:hAnsi="Times New Roman" w:eastAsia="仿宋_GB2312"/>
            </w:rPr>
          </w:pPr>
          <w:r>
            <w:fldChar w:fldCharType="begin"/>
          </w:r>
          <w:r>
            <w:instrText xml:space="preserve"> HYPERLINK \l "_Toc27181" </w:instrText>
          </w:r>
          <w:r>
            <w:fldChar w:fldCharType="separate"/>
          </w:r>
          <w:r>
            <w:rPr>
              <w:rFonts w:ascii="Times New Roman" w:hAnsi="仿宋_GB2312" w:eastAsia="仿宋_GB2312"/>
              <w:b/>
              <w:bCs/>
            </w:rPr>
            <w:t>第二部分</w:t>
          </w:r>
          <w:r>
            <w:rPr>
              <w:rFonts w:ascii="Times New Roman" w:hAnsi="Times New Roman" w:eastAsia="仿宋_GB2312"/>
              <w:b/>
              <w:bCs/>
            </w:rPr>
            <w:t xml:space="preserve">  2024</w:t>
          </w:r>
          <w:r>
            <w:rPr>
              <w:rFonts w:ascii="Times New Roman" w:hAnsi="仿宋_GB2312" w:eastAsia="仿宋_GB2312"/>
              <w:b/>
              <w:bCs/>
            </w:rPr>
            <w:t>年度部门决算情况说明</w:t>
          </w:r>
          <w:r>
            <w:rPr>
              <w:rFonts w:ascii="Times New Roman" w:hAnsi="Times New Roman" w:eastAsia="仿宋_GB2312"/>
              <w:b/>
              <w:bCs/>
            </w:rPr>
            <w:tab/>
          </w:r>
          <w:r>
            <w:rPr>
              <w:rFonts w:ascii="Times New Roman" w:hAnsi="Times New Roman" w:eastAsia="仿宋_GB2312"/>
              <w:b/>
              <w:bCs/>
            </w:rPr>
            <w:fldChar w:fldCharType="begin"/>
          </w:r>
          <w:r>
            <w:rPr>
              <w:rFonts w:ascii="Times New Roman" w:hAnsi="Times New Roman" w:eastAsia="仿宋_GB2312"/>
              <w:b/>
              <w:bCs/>
            </w:rPr>
            <w:instrText xml:space="preserve"> PAGEREF _Toc27181 \h </w:instrText>
          </w:r>
          <w:r>
            <w:rPr>
              <w:rFonts w:ascii="Times New Roman" w:hAnsi="Times New Roman" w:eastAsia="仿宋_GB2312"/>
              <w:b/>
              <w:bCs/>
            </w:rPr>
            <w:fldChar w:fldCharType="separate"/>
          </w:r>
          <w:r>
            <w:rPr>
              <w:rFonts w:ascii="Times New Roman" w:hAnsi="Times New Roman" w:eastAsia="仿宋_GB2312"/>
              <w:b/>
              <w:bCs/>
            </w:rPr>
            <w:t>- 8 -</w:t>
          </w:r>
          <w:r>
            <w:rPr>
              <w:rFonts w:ascii="Times New Roman" w:hAnsi="Times New Roman" w:eastAsia="仿宋_GB2312"/>
              <w:b/>
              <w:bCs/>
            </w:rPr>
            <w:fldChar w:fldCharType="end"/>
          </w:r>
          <w:r>
            <w:rPr>
              <w:rFonts w:ascii="Times New Roman" w:hAnsi="Times New Roman" w:eastAsia="仿宋_GB2312"/>
              <w:b/>
              <w:bCs/>
            </w:rPr>
            <w:fldChar w:fldCharType="end"/>
          </w:r>
        </w:p>
        <w:p w14:paraId="0AC9994D">
          <w:pPr>
            <w:pStyle w:val="17"/>
            <w:tabs>
              <w:tab w:val="right" w:leader="hyphen" w:pos="8306"/>
              <w:tab w:val="clear" w:pos="8296"/>
            </w:tabs>
            <w:rPr>
              <w:rFonts w:eastAsia="仿宋_GB2312"/>
              <w:sz w:val="28"/>
              <w:szCs w:val="28"/>
            </w:rPr>
          </w:pPr>
          <w:r>
            <w:fldChar w:fldCharType="begin"/>
          </w:r>
          <w:r>
            <w:instrText xml:space="preserve"> HYPERLINK \l "_Toc30603" </w:instrText>
          </w:r>
          <w:r>
            <w:fldChar w:fldCharType="separate"/>
          </w:r>
          <w:r>
            <w:rPr>
              <w:rFonts w:hAnsi="仿宋_GB2312" w:eastAsia="仿宋_GB2312"/>
              <w:sz w:val="28"/>
              <w:szCs w:val="28"/>
            </w:rPr>
            <w:t>一、收入支出决算总体情况说明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_Toc30603 \h </w:instrText>
          </w:r>
          <w:r>
            <w:rPr>
              <w:rFonts w:eastAsia="仿宋_GB2312"/>
              <w:sz w:val="28"/>
              <w:szCs w:val="28"/>
            </w:rPr>
            <w:fldChar w:fldCharType="separate"/>
          </w:r>
          <w:r>
            <w:rPr>
              <w:rFonts w:eastAsia="仿宋_GB2312"/>
              <w:sz w:val="28"/>
              <w:szCs w:val="28"/>
            </w:rPr>
            <w:t>- 8 -</w:t>
          </w:r>
          <w:r>
            <w:rPr>
              <w:rFonts w:eastAsia="仿宋_GB2312"/>
              <w:sz w:val="28"/>
              <w:szCs w:val="28"/>
            </w:rPr>
            <w:fldChar w:fldCharType="end"/>
          </w:r>
          <w:r>
            <w:rPr>
              <w:rFonts w:eastAsia="仿宋_GB2312"/>
              <w:sz w:val="28"/>
              <w:szCs w:val="28"/>
            </w:rPr>
            <w:fldChar w:fldCharType="end"/>
          </w:r>
        </w:p>
        <w:p w14:paraId="7489DB60">
          <w:pPr>
            <w:pStyle w:val="17"/>
            <w:tabs>
              <w:tab w:val="right" w:leader="hyphen" w:pos="8306"/>
              <w:tab w:val="clear" w:pos="8296"/>
            </w:tabs>
            <w:rPr>
              <w:rFonts w:eastAsia="仿宋_GB2312"/>
              <w:sz w:val="28"/>
              <w:szCs w:val="28"/>
            </w:rPr>
          </w:pPr>
          <w:r>
            <w:fldChar w:fldCharType="begin"/>
          </w:r>
          <w:r>
            <w:instrText xml:space="preserve"> HYPERLINK \l "_Toc24432" </w:instrText>
          </w:r>
          <w:r>
            <w:fldChar w:fldCharType="separate"/>
          </w:r>
          <w:r>
            <w:rPr>
              <w:rFonts w:hAnsi="仿宋_GB2312" w:eastAsia="仿宋_GB2312"/>
              <w:sz w:val="28"/>
              <w:szCs w:val="28"/>
            </w:rPr>
            <w:t>二、收入决算情况说明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_Toc24432 \h </w:instrText>
          </w:r>
          <w:r>
            <w:rPr>
              <w:rFonts w:eastAsia="仿宋_GB2312"/>
              <w:sz w:val="28"/>
              <w:szCs w:val="28"/>
            </w:rPr>
            <w:fldChar w:fldCharType="separate"/>
          </w:r>
          <w:r>
            <w:rPr>
              <w:rFonts w:eastAsia="仿宋_GB2312"/>
              <w:sz w:val="28"/>
              <w:szCs w:val="28"/>
            </w:rPr>
            <w:t>- 8 -</w:t>
          </w:r>
          <w:r>
            <w:rPr>
              <w:rFonts w:eastAsia="仿宋_GB2312"/>
              <w:sz w:val="28"/>
              <w:szCs w:val="28"/>
            </w:rPr>
            <w:fldChar w:fldCharType="end"/>
          </w:r>
          <w:r>
            <w:rPr>
              <w:rFonts w:eastAsia="仿宋_GB2312"/>
              <w:sz w:val="28"/>
              <w:szCs w:val="28"/>
            </w:rPr>
            <w:fldChar w:fldCharType="end"/>
          </w:r>
        </w:p>
        <w:p w14:paraId="16216A0D">
          <w:pPr>
            <w:pStyle w:val="17"/>
            <w:tabs>
              <w:tab w:val="right" w:leader="hyphen" w:pos="8306"/>
              <w:tab w:val="clear" w:pos="8296"/>
            </w:tabs>
            <w:rPr>
              <w:rFonts w:eastAsia="仿宋_GB2312"/>
              <w:sz w:val="28"/>
              <w:szCs w:val="28"/>
            </w:rPr>
          </w:pPr>
          <w:r>
            <w:fldChar w:fldCharType="begin"/>
          </w:r>
          <w:r>
            <w:instrText xml:space="preserve"> HYPERLINK \l "_Toc29116" </w:instrText>
          </w:r>
          <w:r>
            <w:fldChar w:fldCharType="separate"/>
          </w:r>
          <w:r>
            <w:rPr>
              <w:rFonts w:hAnsi="仿宋_GB2312" w:eastAsia="仿宋_GB2312"/>
              <w:sz w:val="28"/>
              <w:szCs w:val="28"/>
            </w:rPr>
            <w:t>三、支出决算情况说明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_Toc29116 \h </w:instrText>
          </w:r>
          <w:r>
            <w:rPr>
              <w:rFonts w:eastAsia="仿宋_GB2312"/>
              <w:sz w:val="28"/>
              <w:szCs w:val="28"/>
            </w:rPr>
            <w:fldChar w:fldCharType="separate"/>
          </w:r>
          <w:r>
            <w:rPr>
              <w:rFonts w:eastAsia="仿宋_GB2312"/>
              <w:sz w:val="28"/>
              <w:szCs w:val="28"/>
            </w:rPr>
            <w:t>- 9 -</w:t>
          </w:r>
          <w:r>
            <w:rPr>
              <w:rFonts w:eastAsia="仿宋_GB2312"/>
              <w:sz w:val="28"/>
              <w:szCs w:val="28"/>
            </w:rPr>
            <w:fldChar w:fldCharType="end"/>
          </w:r>
          <w:r>
            <w:rPr>
              <w:rFonts w:eastAsia="仿宋_GB2312"/>
              <w:sz w:val="28"/>
              <w:szCs w:val="28"/>
            </w:rPr>
            <w:fldChar w:fldCharType="end"/>
          </w:r>
        </w:p>
        <w:p w14:paraId="4FE78D44">
          <w:pPr>
            <w:pStyle w:val="17"/>
            <w:tabs>
              <w:tab w:val="right" w:leader="hyphen" w:pos="8306"/>
              <w:tab w:val="clear" w:pos="8296"/>
            </w:tabs>
            <w:rPr>
              <w:rFonts w:eastAsia="仿宋_GB2312"/>
              <w:sz w:val="28"/>
              <w:szCs w:val="28"/>
            </w:rPr>
          </w:pPr>
          <w:r>
            <w:fldChar w:fldCharType="begin"/>
          </w:r>
          <w:r>
            <w:instrText xml:space="preserve"> HYPERLINK \l "_Toc8218" </w:instrText>
          </w:r>
          <w:r>
            <w:fldChar w:fldCharType="separate"/>
          </w:r>
          <w:r>
            <w:rPr>
              <w:rFonts w:hAnsi="仿宋_GB2312" w:eastAsia="仿宋_GB2312"/>
              <w:sz w:val="28"/>
              <w:szCs w:val="28"/>
            </w:rPr>
            <w:t>四、财政拨款收入支出决算总体情况说明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_Toc8218 \h </w:instrText>
          </w:r>
          <w:r>
            <w:rPr>
              <w:rFonts w:eastAsia="仿宋_GB2312"/>
              <w:sz w:val="28"/>
              <w:szCs w:val="28"/>
            </w:rPr>
            <w:fldChar w:fldCharType="separate"/>
          </w:r>
          <w:r>
            <w:rPr>
              <w:rFonts w:eastAsia="仿宋_GB2312"/>
              <w:sz w:val="28"/>
              <w:szCs w:val="28"/>
            </w:rPr>
            <w:t>- 9 -</w:t>
          </w:r>
          <w:r>
            <w:rPr>
              <w:rFonts w:eastAsia="仿宋_GB2312"/>
              <w:sz w:val="28"/>
              <w:szCs w:val="28"/>
            </w:rPr>
            <w:fldChar w:fldCharType="end"/>
          </w:r>
          <w:r>
            <w:rPr>
              <w:rFonts w:eastAsia="仿宋_GB2312"/>
              <w:sz w:val="28"/>
              <w:szCs w:val="28"/>
            </w:rPr>
            <w:fldChar w:fldCharType="end"/>
          </w:r>
        </w:p>
        <w:p w14:paraId="713FDAB6">
          <w:pPr>
            <w:pStyle w:val="17"/>
            <w:tabs>
              <w:tab w:val="right" w:leader="hyphen" w:pos="8306"/>
              <w:tab w:val="clear" w:pos="8296"/>
            </w:tabs>
            <w:rPr>
              <w:rFonts w:eastAsia="仿宋_GB2312"/>
              <w:sz w:val="28"/>
              <w:szCs w:val="28"/>
            </w:rPr>
          </w:pPr>
          <w:r>
            <w:fldChar w:fldCharType="begin"/>
          </w:r>
          <w:r>
            <w:instrText xml:space="preserve"> HYPERLINK \l "_Toc16246" </w:instrText>
          </w:r>
          <w:r>
            <w:fldChar w:fldCharType="separate"/>
          </w:r>
          <w:r>
            <w:rPr>
              <w:rFonts w:hAnsi="仿宋_GB2312" w:eastAsia="仿宋_GB2312"/>
              <w:sz w:val="28"/>
              <w:szCs w:val="28"/>
            </w:rPr>
            <w:t>五、一般公共预算财政拨款支出决算情况说明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_Toc16246 \h </w:instrText>
          </w:r>
          <w:r>
            <w:rPr>
              <w:rFonts w:eastAsia="仿宋_GB2312"/>
              <w:sz w:val="28"/>
              <w:szCs w:val="28"/>
            </w:rPr>
            <w:fldChar w:fldCharType="separate"/>
          </w:r>
          <w:r>
            <w:rPr>
              <w:rFonts w:eastAsia="仿宋_GB2312"/>
              <w:sz w:val="28"/>
              <w:szCs w:val="28"/>
            </w:rPr>
            <w:t>- 10 -</w:t>
          </w:r>
          <w:r>
            <w:rPr>
              <w:rFonts w:eastAsia="仿宋_GB2312"/>
              <w:sz w:val="28"/>
              <w:szCs w:val="28"/>
            </w:rPr>
            <w:fldChar w:fldCharType="end"/>
          </w:r>
          <w:r>
            <w:rPr>
              <w:rFonts w:eastAsia="仿宋_GB2312"/>
              <w:sz w:val="28"/>
              <w:szCs w:val="28"/>
            </w:rPr>
            <w:fldChar w:fldCharType="end"/>
          </w:r>
        </w:p>
        <w:p w14:paraId="4B5A5917">
          <w:pPr>
            <w:pStyle w:val="17"/>
            <w:tabs>
              <w:tab w:val="right" w:leader="hyphen" w:pos="8306"/>
              <w:tab w:val="clear" w:pos="8296"/>
            </w:tabs>
            <w:rPr>
              <w:rFonts w:eastAsia="仿宋_GB2312"/>
              <w:sz w:val="28"/>
              <w:szCs w:val="28"/>
            </w:rPr>
          </w:pPr>
          <w:r>
            <w:fldChar w:fldCharType="begin"/>
          </w:r>
          <w:r>
            <w:instrText xml:space="preserve"> HYPERLINK \l "_Toc330" </w:instrText>
          </w:r>
          <w:r>
            <w:fldChar w:fldCharType="separate"/>
          </w:r>
          <w:r>
            <w:rPr>
              <w:rFonts w:hAnsi="仿宋_GB2312" w:eastAsia="仿宋_GB2312"/>
              <w:sz w:val="28"/>
              <w:szCs w:val="28"/>
            </w:rPr>
            <w:t>六、一般公共预算财政拨款基本支出决算情况说明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_Toc330 \h </w:instrText>
          </w:r>
          <w:r>
            <w:rPr>
              <w:rFonts w:eastAsia="仿宋_GB2312"/>
              <w:sz w:val="28"/>
              <w:szCs w:val="28"/>
            </w:rPr>
            <w:fldChar w:fldCharType="separate"/>
          </w:r>
          <w:r>
            <w:rPr>
              <w:rFonts w:eastAsia="仿宋_GB2312"/>
              <w:sz w:val="28"/>
              <w:szCs w:val="28"/>
            </w:rPr>
            <w:t>- 14 -</w:t>
          </w:r>
          <w:r>
            <w:rPr>
              <w:rFonts w:eastAsia="仿宋_GB2312"/>
              <w:sz w:val="28"/>
              <w:szCs w:val="28"/>
            </w:rPr>
            <w:fldChar w:fldCharType="end"/>
          </w:r>
          <w:r>
            <w:rPr>
              <w:rFonts w:eastAsia="仿宋_GB2312"/>
              <w:sz w:val="28"/>
              <w:szCs w:val="28"/>
            </w:rPr>
            <w:fldChar w:fldCharType="end"/>
          </w:r>
        </w:p>
        <w:p w14:paraId="44066509">
          <w:pPr>
            <w:pStyle w:val="17"/>
            <w:tabs>
              <w:tab w:val="right" w:leader="hyphen" w:pos="8306"/>
              <w:tab w:val="clear" w:pos="8296"/>
            </w:tabs>
            <w:rPr>
              <w:rFonts w:eastAsia="仿宋_GB2312"/>
              <w:sz w:val="28"/>
              <w:szCs w:val="28"/>
            </w:rPr>
          </w:pPr>
          <w:r>
            <w:fldChar w:fldCharType="begin"/>
          </w:r>
          <w:r>
            <w:instrText xml:space="preserve"> HYPERLINK \l "_Toc1669" </w:instrText>
          </w:r>
          <w:r>
            <w:fldChar w:fldCharType="separate"/>
          </w:r>
          <w:r>
            <w:rPr>
              <w:rFonts w:hAnsi="仿宋_GB2312" w:eastAsia="仿宋_GB2312"/>
              <w:sz w:val="28"/>
              <w:szCs w:val="28"/>
            </w:rPr>
            <w:t>七、财政拨款</w:t>
          </w:r>
          <w:r>
            <w:rPr>
              <w:rFonts w:eastAsia="仿宋_GB2312"/>
              <w:sz w:val="28"/>
              <w:szCs w:val="28"/>
            </w:rPr>
            <w:t>“</w:t>
          </w:r>
          <w:r>
            <w:rPr>
              <w:rFonts w:hAnsi="仿宋_GB2312" w:eastAsia="仿宋_GB2312"/>
              <w:sz w:val="28"/>
              <w:szCs w:val="28"/>
            </w:rPr>
            <w:t>三公</w:t>
          </w:r>
          <w:r>
            <w:rPr>
              <w:rFonts w:eastAsia="仿宋_GB2312"/>
              <w:sz w:val="28"/>
              <w:szCs w:val="28"/>
            </w:rPr>
            <w:t>”</w:t>
          </w:r>
          <w:r>
            <w:rPr>
              <w:rFonts w:hAnsi="仿宋_GB2312" w:eastAsia="仿宋_GB2312"/>
              <w:sz w:val="28"/>
              <w:szCs w:val="28"/>
            </w:rPr>
            <w:t>经费支出决算情况说明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_Toc1669 \h </w:instrText>
          </w:r>
          <w:r>
            <w:rPr>
              <w:rFonts w:eastAsia="仿宋_GB2312"/>
              <w:sz w:val="28"/>
              <w:szCs w:val="28"/>
            </w:rPr>
            <w:fldChar w:fldCharType="separate"/>
          </w:r>
          <w:r>
            <w:rPr>
              <w:rFonts w:eastAsia="仿宋_GB2312"/>
              <w:sz w:val="28"/>
              <w:szCs w:val="28"/>
            </w:rPr>
            <w:t>- 14 -</w:t>
          </w:r>
          <w:r>
            <w:rPr>
              <w:rFonts w:eastAsia="仿宋_GB2312"/>
              <w:sz w:val="28"/>
              <w:szCs w:val="28"/>
            </w:rPr>
            <w:fldChar w:fldCharType="end"/>
          </w:r>
          <w:r>
            <w:rPr>
              <w:rFonts w:eastAsia="仿宋_GB2312"/>
              <w:sz w:val="28"/>
              <w:szCs w:val="28"/>
            </w:rPr>
            <w:fldChar w:fldCharType="end"/>
          </w:r>
        </w:p>
        <w:p w14:paraId="10BB22B5">
          <w:pPr>
            <w:pStyle w:val="17"/>
            <w:tabs>
              <w:tab w:val="right" w:leader="hyphen" w:pos="8306"/>
              <w:tab w:val="clear" w:pos="8296"/>
            </w:tabs>
            <w:rPr>
              <w:rFonts w:eastAsia="仿宋_GB2312"/>
              <w:sz w:val="28"/>
              <w:szCs w:val="28"/>
            </w:rPr>
          </w:pPr>
          <w:r>
            <w:fldChar w:fldCharType="begin"/>
          </w:r>
          <w:r>
            <w:instrText xml:space="preserve"> HYPERLINK \l "_Toc22364" </w:instrText>
          </w:r>
          <w:r>
            <w:fldChar w:fldCharType="separate"/>
          </w:r>
          <w:r>
            <w:rPr>
              <w:rFonts w:hAnsi="仿宋_GB2312" w:eastAsia="仿宋_GB2312"/>
              <w:sz w:val="28"/>
              <w:szCs w:val="28"/>
            </w:rPr>
            <w:t>八、政府性基金预算支出决算情况说明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_Toc22364 \h </w:instrText>
          </w:r>
          <w:r>
            <w:rPr>
              <w:rFonts w:eastAsia="仿宋_GB2312"/>
              <w:sz w:val="28"/>
              <w:szCs w:val="28"/>
            </w:rPr>
            <w:fldChar w:fldCharType="separate"/>
          </w:r>
          <w:r>
            <w:rPr>
              <w:rFonts w:eastAsia="仿宋_GB2312"/>
              <w:sz w:val="28"/>
              <w:szCs w:val="28"/>
            </w:rPr>
            <w:t>- 17 -</w:t>
          </w:r>
          <w:r>
            <w:rPr>
              <w:rFonts w:eastAsia="仿宋_GB2312"/>
              <w:sz w:val="28"/>
              <w:szCs w:val="28"/>
            </w:rPr>
            <w:fldChar w:fldCharType="end"/>
          </w:r>
          <w:r>
            <w:rPr>
              <w:rFonts w:eastAsia="仿宋_GB2312"/>
              <w:sz w:val="28"/>
              <w:szCs w:val="28"/>
            </w:rPr>
            <w:fldChar w:fldCharType="end"/>
          </w:r>
        </w:p>
        <w:p w14:paraId="1BB489E4">
          <w:pPr>
            <w:pStyle w:val="17"/>
            <w:tabs>
              <w:tab w:val="right" w:leader="hyphen" w:pos="8306"/>
              <w:tab w:val="clear" w:pos="8296"/>
            </w:tabs>
            <w:rPr>
              <w:rFonts w:eastAsia="仿宋_GB2312"/>
              <w:sz w:val="28"/>
              <w:szCs w:val="28"/>
            </w:rPr>
          </w:pPr>
          <w:r>
            <w:fldChar w:fldCharType="begin"/>
          </w:r>
          <w:r>
            <w:instrText xml:space="preserve"> HYPERLINK \l "_Toc16691" </w:instrText>
          </w:r>
          <w:r>
            <w:fldChar w:fldCharType="separate"/>
          </w:r>
          <w:r>
            <w:rPr>
              <w:rFonts w:hAnsi="仿宋_GB2312" w:eastAsia="仿宋_GB2312"/>
              <w:sz w:val="28"/>
              <w:szCs w:val="28"/>
            </w:rPr>
            <w:t>九、国有资本经营预算支出决算情况说明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_Toc16691 \h </w:instrText>
          </w:r>
          <w:r>
            <w:rPr>
              <w:rFonts w:eastAsia="仿宋_GB2312"/>
              <w:sz w:val="28"/>
              <w:szCs w:val="28"/>
            </w:rPr>
            <w:fldChar w:fldCharType="separate"/>
          </w:r>
          <w:r>
            <w:rPr>
              <w:rFonts w:eastAsia="仿宋_GB2312"/>
              <w:sz w:val="28"/>
              <w:szCs w:val="28"/>
            </w:rPr>
            <w:t>- 17 -</w:t>
          </w:r>
          <w:r>
            <w:rPr>
              <w:rFonts w:eastAsia="仿宋_GB2312"/>
              <w:sz w:val="28"/>
              <w:szCs w:val="28"/>
            </w:rPr>
            <w:fldChar w:fldCharType="end"/>
          </w:r>
          <w:r>
            <w:rPr>
              <w:rFonts w:eastAsia="仿宋_GB2312"/>
              <w:sz w:val="28"/>
              <w:szCs w:val="28"/>
            </w:rPr>
            <w:fldChar w:fldCharType="end"/>
          </w:r>
        </w:p>
        <w:p w14:paraId="0C9C54BD">
          <w:pPr>
            <w:pStyle w:val="17"/>
            <w:tabs>
              <w:tab w:val="right" w:leader="hyphen" w:pos="8306"/>
              <w:tab w:val="clear" w:pos="8296"/>
            </w:tabs>
            <w:rPr>
              <w:rFonts w:eastAsia="仿宋_GB2312"/>
              <w:sz w:val="28"/>
              <w:szCs w:val="28"/>
            </w:rPr>
          </w:pPr>
          <w:r>
            <w:fldChar w:fldCharType="begin"/>
          </w:r>
          <w:r>
            <w:instrText xml:space="preserve"> HYPERLINK \l "_Toc13514" </w:instrText>
          </w:r>
          <w:r>
            <w:fldChar w:fldCharType="separate"/>
          </w:r>
          <w:r>
            <w:rPr>
              <w:rFonts w:hAnsi="仿宋_GB2312" w:eastAsia="仿宋_GB2312"/>
              <w:sz w:val="28"/>
              <w:szCs w:val="28"/>
            </w:rPr>
            <w:t>十、其他重要事项的情况说明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_Toc13514 \h </w:instrText>
          </w:r>
          <w:r>
            <w:rPr>
              <w:rFonts w:eastAsia="仿宋_GB2312"/>
              <w:sz w:val="28"/>
              <w:szCs w:val="28"/>
            </w:rPr>
            <w:fldChar w:fldCharType="separate"/>
          </w:r>
          <w:r>
            <w:rPr>
              <w:rFonts w:eastAsia="仿宋_GB2312"/>
              <w:sz w:val="28"/>
              <w:szCs w:val="28"/>
            </w:rPr>
            <w:t>- 17 -</w:t>
          </w:r>
          <w:r>
            <w:rPr>
              <w:rFonts w:eastAsia="仿宋_GB2312"/>
              <w:sz w:val="28"/>
              <w:szCs w:val="28"/>
            </w:rPr>
            <w:fldChar w:fldCharType="end"/>
          </w:r>
          <w:r>
            <w:rPr>
              <w:rFonts w:eastAsia="仿宋_GB2312"/>
              <w:sz w:val="28"/>
              <w:szCs w:val="28"/>
            </w:rPr>
            <w:fldChar w:fldCharType="end"/>
          </w:r>
        </w:p>
        <w:p w14:paraId="77A98CBE">
          <w:pPr>
            <w:pStyle w:val="14"/>
            <w:tabs>
              <w:tab w:val="right" w:leader="hyphen" w:pos="8306"/>
              <w:tab w:val="clear" w:pos="8296"/>
            </w:tabs>
            <w:rPr>
              <w:rFonts w:ascii="Times New Roman" w:hAnsi="Times New Roman" w:eastAsia="仿宋_GB2312"/>
              <w:b/>
              <w:bCs/>
            </w:rPr>
          </w:pPr>
          <w:r>
            <w:fldChar w:fldCharType="begin"/>
          </w:r>
          <w:r>
            <w:instrText xml:space="preserve"> HYPERLINK \l "_Toc13342" </w:instrText>
          </w:r>
          <w:r>
            <w:fldChar w:fldCharType="separate"/>
          </w:r>
          <w:r>
            <w:rPr>
              <w:rFonts w:ascii="Times New Roman" w:hAnsi="仿宋_GB2312" w:eastAsia="仿宋_GB2312"/>
              <w:b/>
              <w:bCs/>
            </w:rPr>
            <w:t>第三部分</w:t>
          </w:r>
          <w:r>
            <w:rPr>
              <w:rFonts w:ascii="Times New Roman" w:hAnsi="Times New Roman" w:eastAsia="仿宋_GB2312"/>
              <w:b/>
              <w:bCs/>
            </w:rPr>
            <w:t xml:space="preserve">  </w:t>
          </w:r>
          <w:r>
            <w:rPr>
              <w:rFonts w:ascii="Times New Roman" w:hAnsi="仿宋_GB2312" w:eastAsia="仿宋_GB2312"/>
              <w:b/>
              <w:bCs/>
            </w:rPr>
            <w:t>名词解释</w:t>
          </w:r>
          <w:r>
            <w:rPr>
              <w:rFonts w:ascii="Times New Roman" w:hAnsi="Times New Roman" w:eastAsia="仿宋_GB2312"/>
              <w:b/>
              <w:bCs/>
            </w:rPr>
            <w:tab/>
          </w:r>
          <w:r>
            <w:rPr>
              <w:rFonts w:ascii="Times New Roman" w:hAnsi="Times New Roman" w:eastAsia="仿宋_GB2312"/>
              <w:b/>
              <w:bCs/>
            </w:rPr>
            <w:fldChar w:fldCharType="begin"/>
          </w:r>
          <w:r>
            <w:rPr>
              <w:rFonts w:ascii="Times New Roman" w:hAnsi="Times New Roman" w:eastAsia="仿宋_GB2312"/>
              <w:b/>
              <w:bCs/>
            </w:rPr>
            <w:instrText xml:space="preserve"> PAGEREF _Toc13342 \h </w:instrText>
          </w:r>
          <w:r>
            <w:rPr>
              <w:rFonts w:ascii="Times New Roman" w:hAnsi="Times New Roman" w:eastAsia="仿宋_GB2312"/>
              <w:b/>
              <w:bCs/>
            </w:rPr>
            <w:fldChar w:fldCharType="separate"/>
          </w:r>
          <w:r>
            <w:rPr>
              <w:rFonts w:ascii="Times New Roman" w:hAnsi="Times New Roman" w:eastAsia="仿宋_GB2312"/>
              <w:b/>
              <w:bCs/>
            </w:rPr>
            <w:t>- 18 -</w:t>
          </w:r>
          <w:r>
            <w:rPr>
              <w:rFonts w:ascii="Times New Roman" w:hAnsi="Times New Roman" w:eastAsia="仿宋_GB2312"/>
              <w:b/>
              <w:bCs/>
            </w:rPr>
            <w:fldChar w:fldCharType="end"/>
          </w:r>
          <w:r>
            <w:rPr>
              <w:rFonts w:ascii="Times New Roman" w:hAnsi="Times New Roman" w:eastAsia="仿宋_GB2312"/>
              <w:b/>
              <w:bCs/>
            </w:rPr>
            <w:fldChar w:fldCharType="end"/>
          </w:r>
        </w:p>
        <w:p w14:paraId="0B530641">
          <w:pPr>
            <w:pStyle w:val="14"/>
            <w:tabs>
              <w:tab w:val="right" w:leader="hyphen" w:pos="8306"/>
              <w:tab w:val="clear" w:pos="8296"/>
            </w:tabs>
            <w:rPr>
              <w:rFonts w:ascii="Times New Roman" w:hAnsi="Times New Roman" w:eastAsia="仿宋_GB2312"/>
              <w:b/>
              <w:bCs/>
            </w:rPr>
          </w:pPr>
          <w:r>
            <w:fldChar w:fldCharType="begin"/>
          </w:r>
          <w:r>
            <w:instrText xml:space="preserve"> HYPERLINK \l "_Toc8069" </w:instrText>
          </w:r>
          <w:r>
            <w:fldChar w:fldCharType="separate"/>
          </w:r>
          <w:r>
            <w:rPr>
              <w:rFonts w:ascii="Times New Roman" w:hAnsi="仿宋_GB2312" w:eastAsia="仿宋_GB2312"/>
              <w:b/>
              <w:bCs/>
            </w:rPr>
            <w:t>第四部分</w:t>
          </w:r>
          <w:r>
            <w:rPr>
              <w:rFonts w:ascii="Times New Roman" w:hAnsi="Times New Roman" w:eastAsia="仿宋_GB2312"/>
              <w:b/>
              <w:bCs/>
            </w:rPr>
            <w:t xml:space="preserve">  </w:t>
          </w:r>
          <w:r>
            <w:rPr>
              <w:rFonts w:ascii="Times New Roman" w:hAnsi="仿宋_GB2312" w:eastAsia="仿宋_GB2312"/>
              <w:b/>
              <w:bCs/>
            </w:rPr>
            <w:t>附件</w:t>
          </w:r>
          <w:r>
            <w:rPr>
              <w:rFonts w:ascii="Times New Roman" w:hAnsi="Times New Roman" w:eastAsia="仿宋_GB2312"/>
              <w:b/>
              <w:bCs/>
            </w:rPr>
            <w:tab/>
          </w:r>
          <w:r>
            <w:rPr>
              <w:rFonts w:ascii="Times New Roman" w:hAnsi="Times New Roman" w:eastAsia="仿宋_GB2312"/>
              <w:b/>
              <w:bCs/>
            </w:rPr>
            <w:fldChar w:fldCharType="begin"/>
          </w:r>
          <w:r>
            <w:rPr>
              <w:rFonts w:ascii="Times New Roman" w:hAnsi="Times New Roman" w:eastAsia="仿宋_GB2312"/>
              <w:b/>
              <w:bCs/>
            </w:rPr>
            <w:instrText xml:space="preserve"> PAGEREF _Toc8069 \h </w:instrText>
          </w:r>
          <w:r>
            <w:rPr>
              <w:rFonts w:ascii="Times New Roman" w:hAnsi="Times New Roman" w:eastAsia="仿宋_GB2312"/>
              <w:b/>
              <w:bCs/>
            </w:rPr>
            <w:fldChar w:fldCharType="separate"/>
          </w:r>
          <w:r>
            <w:rPr>
              <w:rFonts w:ascii="Times New Roman" w:hAnsi="Times New Roman" w:eastAsia="仿宋_GB2312"/>
              <w:b/>
              <w:bCs/>
            </w:rPr>
            <w:t>- 21 -</w:t>
          </w:r>
          <w:r>
            <w:rPr>
              <w:rFonts w:ascii="Times New Roman" w:hAnsi="Times New Roman" w:eastAsia="仿宋_GB2312"/>
              <w:b/>
              <w:bCs/>
            </w:rPr>
            <w:fldChar w:fldCharType="end"/>
          </w:r>
          <w:r>
            <w:rPr>
              <w:rFonts w:ascii="Times New Roman" w:hAnsi="Times New Roman" w:eastAsia="仿宋_GB2312"/>
              <w:b/>
              <w:bCs/>
            </w:rPr>
            <w:fldChar w:fldCharType="end"/>
          </w:r>
        </w:p>
        <w:p w14:paraId="6E61EEA0">
          <w:pPr>
            <w:pStyle w:val="14"/>
            <w:tabs>
              <w:tab w:val="right" w:leader="hyphen" w:pos="8306"/>
              <w:tab w:val="clear" w:pos="8296"/>
            </w:tabs>
            <w:rPr>
              <w:rFonts w:ascii="Times New Roman" w:hAnsi="Times New Roman" w:eastAsia="仿宋_GB2312"/>
            </w:rPr>
          </w:pPr>
          <w:r>
            <w:fldChar w:fldCharType="begin"/>
          </w:r>
          <w:r>
            <w:instrText xml:space="preserve"> HYPERLINK \l "_Toc31260" </w:instrText>
          </w:r>
          <w:r>
            <w:fldChar w:fldCharType="separate"/>
          </w:r>
          <w:r>
            <w:rPr>
              <w:rFonts w:ascii="Times New Roman" w:hAnsi="仿宋_GB2312" w:eastAsia="仿宋_GB2312"/>
            </w:rPr>
            <w:t>附件</w:t>
          </w:r>
          <w:r>
            <w:rPr>
              <w:rFonts w:ascii="Times New Roman" w:hAnsi="Times New Roman" w:eastAsia="仿宋_GB2312"/>
            </w:rPr>
            <w:t>1</w:t>
          </w:r>
          <w:r>
            <w:rPr>
              <w:rFonts w:ascii="Times New Roman" w:hAnsi="Times New Roman" w:eastAsia="仿宋_GB2312"/>
            </w:rPr>
            <w:tab/>
          </w:r>
          <w:r>
            <w:rPr>
              <w:rFonts w:ascii="Times New Roman" w:hAnsi="Times New Roman" w:eastAsia="仿宋_GB2312"/>
            </w:rPr>
            <w:fldChar w:fldCharType="begin"/>
          </w:r>
          <w:r>
            <w:rPr>
              <w:rFonts w:ascii="Times New Roman" w:hAnsi="Times New Roman" w:eastAsia="仿宋_GB2312"/>
            </w:rPr>
            <w:instrText xml:space="preserve"> PAGEREF _Toc31260 \h </w:instrText>
          </w:r>
          <w:r>
            <w:rPr>
              <w:rFonts w:ascii="Times New Roman" w:hAnsi="Times New Roman" w:eastAsia="仿宋_GB2312"/>
            </w:rPr>
            <w:fldChar w:fldCharType="separate"/>
          </w:r>
          <w:r>
            <w:rPr>
              <w:rFonts w:ascii="Times New Roman" w:hAnsi="Times New Roman" w:eastAsia="仿宋_GB2312"/>
            </w:rPr>
            <w:t>- 21 -</w:t>
          </w:r>
          <w:r>
            <w:rPr>
              <w:rFonts w:ascii="Times New Roman" w:hAnsi="Times New Roman" w:eastAsia="仿宋_GB2312"/>
            </w:rPr>
            <w:fldChar w:fldCharType="end"/>
          </w:r>
          <w:r>
            <w:rPr>
              <w:rFonts w:ascii="Times New Roman" w:hAnsi="Times New Roman" w:eastAsia="仿宋_GB2312"/>
            </w:rPr>
            <w:fldChar w:fldCharType="end"/>
          </w:r>
        </w:p>
        <w:p w14:paraId="26C00BF8">
          <w:pPr>
            <w:pStyle w:val="14"/>
            <w:tabs>
              <w:tab w:val="right" w:leader="hyphen" w:pos="8306"/>
              <w:tab w:val="clear" w:pos="8296"/>
            </w:tabs>
            <w:rPr>
              <w:rFonts w:ascii="Times New Roman" w:hAnsi="Times New Roman" w:eastAsia="仿宋_GB2312"/>
              <w:b/>
              <w:bCs/>
            </w:rPr>
          </w:pPr>
          <w:r>
            <w:fldChar w:fldCharType="begin"/>
          </w:r>
          <w:r>
            <w:instrText xml:space="preserve"> HYPERLINK \l "_Toc18724" </w:instrText>
          </w:r>
          <w:r>
            <w:fldChar w:fldCharType="separate"/>
          </w:r>
          <w:r>
            <w:rPr>
              <w:rFonts w:ascii="Times New Roman" w:hAnsi="仿宋_GB2312" w:eastAsia="仿宋_GB2312"/>
              <w:b/>
              <w:bCs/>
            </w:rPr>
            <w:t>第五部分</w:t>
          </w:r>
          <w:r>
            <w:rPr>
              <w:rFonts w:ascii="Times New Roman" w:hAnsi="Times New Roman" w:eastAsia="仿宋_GB2312"/>
              <w:b/>
              <w:bCs/>
            </w:rPr>
            <w:t xml:space="preserve"> </w:t>
          </w:r>
          <w:r>
            <w:rPr>
              <w:rFonts w:ascii="Times New Roman" w:hAnsi="仿宋_GB2312" w:eastAsia="仿宋_GB2312"/>
              <w:b/>
              <w:bCs/>
            </w:rPr>
            <w:t>附表</w:t>
          </w:r>
          <w:r>
            <w:rPr>
              <w:rFonts w:ascii="Times New Roman" w:hAnsi="Times New Roman" w:eastAsia="仿宋_GB2312"/>
              <w:b/>
              <w:bCs/>
            </w:rPr>
            <w:tab/>
          </w:r>
          <w:r>
            <w:rPr>
              <w:rFonts w:ascii="Times New Roman" w:hAnsi="Times New Roman" w:eastAsia="仿宋_GB2312"/>
              <w:b/>
              <w:bCs/>
            </w:rPr>
            <w:fldChar w:fldCharType="begin"/>
          </w:r>
          <w:r>
            <w:rPr>
              <w:rFonts w:ascii="Times New Roman" w:hAnsi="Times New Roman" w:eastAsia="仿宋_GB2312"/>
              <w:b/>
              <w:bCs/>
            </w:rPr>
            <w:instrText xml:space="preserve"> PAGEREF _Toc18724 \h </w:instrText>
          </w:r>
          <w:r>
            <w:rPr>
              <w:rFonts w:ascii="Times New Roman" w:hAnsi="Times New Roman" w:eastAsia="仿宋_GB2312"/>
              <w:b/>
              <w:bCs/>
            </w:rPr>
            <w:fldChar w:fldCharType="separate"/>
          </w:r>
          <w:r>
            <w:rPr>
              <w:rFonts w:ascii="Times New Roman" w:hAnsi="Times New Roman" w:eastAsia="仿宋_GB2312"/>
              <w:b/>
              <w:bCs/>
            </w:rPr>
            <w:t>- 47 -</w:t>
          </w:r>
          <w:r>
            <w:rPr>
              <w:rFonts w:ascii="Times New Roman" w:hAnsi="Times New Roman" w:eastAsia="仿宋_GB2312"/>
              <w:b/>
              <w:bCs/>
            </w:rPr>
            <w:fldChar w:fldCharType="end"/>
          </w:r>
          <w:r>
            <w:rPr>
              <w:rFonts w:ascii="Times New Roman" w:hAnsi="Times New Roman" w:eastAsia="仿宋_GB2312"/>
              <w:b/>
              <w:bCs/>
            </w:rPr>
            <w:fldChar w:fldCharType="end"/>
          </w:r>
        </w:p>
        <w:p w14:paraId="48BDAEEB">
          <w:r>
            <w:rPr>
              <w:rFonts w:eastAsia="仿宋_GB2312"/>
              <w:sz w:val="28"/>
              <w:szCs w:val="28"/>
            </w:rPr>
            <w:fldChar w:fldCharType="end"/>
          </w:r>
        </w:p>
      </w:sdtContent>
    </w:sdt>
    <w:p w14:paraId="30422F76">
      <w:pPr>
        <w:pStyle w:val="17"/>
        <w:adjustRightInd w:val="0"/>
        <w:snapToGrid w:val="0"/>
        <w:spacing w:line="560" w:lineRule="exact"/>
        <w:ind w:left="0" w:leftChars="0" w:firstLine="640" w:firstLineChars="200"/>
        <w:jc w:val="left"/>
        <w:outlineLvl w:val="0"/>
        <w:rPr>
          <w:rFonts w:eastAsia="仿宋_GB2312"/>
          <w:sz w:val="32"/>
          <w:szCs w:val="32"/>
        </w:rPr>
      </w:pPr>
      <w:bookmarkStart w:id="6" w:name="_Toc17884"/>
      <w:bookmarkStart w:id="7" w:name="_Toc26830"/>
      <w:r>
        <w:rPr>
          <w:rFonts w:eastAsia="仿宋_GB2312"/>
          <w:sz w:val="32"/>
          <w:szCs w:val="32"/>
        </w:rPr>
        <w:t>一、收入支出决算总表</w:t>
      </w:r>
      <w:bookmarkEnd w:id="6"/>
      <w:bookmarkEnd w:id="7"/>
    </w:p>
    <w:p w14:paraId="74FC52AA">
      <w:pPr>
        <w:pStyle w:val="17"/>
        <w:adjustRightInd w:val="0"/>
        <w:snapToGrid w:val="0"/>
        <w:spacing w:line="560" w:lineRule="exact"/>
        <w:ind w:left="0" w:leftChars="0" w:firstLine="640" w:firstLineChars="200"/>
        <w:jc w:val="left"/>
        <w:outlineLvl w:val="0"/>
        <w:rPr>
          <w:rFonts w:eastAsia="仿宋_GB2312"/>
          <w:sz w:val="32"/>
          <w:szCs w:val="32"/>
        </w:rPr>
      </w:pPr>
      <w:bookmarkStart w:id="8" w:name="_Toc28948"/>
      <w:bookmarkStart w:id="9" w:name="_Toc19339"/>
      <w:r>
        <w:rPr>
          <w:rFonts w:eastAsia="仿宋_GB2312"/>
          <w:sz w:val="32"/>
          <w:szCs w:val="32"/>
        </w:rPr>
        <w:t>二、收入决算表</w:t>
      </w:r>
      <w:bookmarkEnd w:id="8"/>
      <w:bookmarkEnd w:id="9"/>
    </w:p>
    <w:p w14:paraId="5458D3F6">
      <w:pPr>
        <w:pStyle w:val="17"/>
        <w:adjustRightInd w:val="0"/>
        <w:snapToGrid w:val="0"/>
        <w:spacing w:line="560" w:lineRule="exact"/>
        <w:ind w:left="0" w:leftChars="0" w:firstLine="640" w:firstLineChars="200"/>
        <w:jc w:val="left"/>
        <w:outlineLvl w:val="0"/>
        <w:rPr>
          <w:rFonts w:eastAsia="仿宋_GB2312"/>
          <w:sz w:val="32"/>
          <w:szCs w:val="32"/>
        </w:rPr>
      </w:pPr>
      <w:bookmarkStart w:id="10" w:name="_Toc2605"/>
      <w:bookmarkStart w:id="11" w:name="_Toc25738"/>
      <w:r>
        <w:rPr>
          <w:rFonts w:eastAsia="仿宋_GB2312"/>
          <w:sz w:val="32"/>
          <w:szCs w:val="32"/>
        </w:rPr>
        <w:t>三、支出决算表</w:t>
      </w:r>
      <w:bookmarkEnd w:id="10"/>
      <w:bookmarkEnd w:id="11"/>
    </w:p>
    <w:p w14:paraId="55B5C4C2">
      <w:pPr>
        <w:pStyle w:val="17"/>
        <w:adjustRightInd w:val="0"/>
        <w:snapToGrid w:val="0"/>
        <w:spacing w:line="560" w:lineRule="exact"/>
        <w:ind w:left="0" w:leftChars="0" w:firstLine="640" w:firstLineChars="200"/>
        <w:jc w:val="left"/>
        <w:outlineLvl w:val="0"/>
        <w:rPr>
          <w:rFonts w:eastAsia="仿宋_GB2312"/>
          <w:sz w:val="32"/>
          <w:szCs w:val="32"/>
        </w:rPr>
      </w:pPr>
      <w:bookmarkStart w:id="12" w:name="_Toc1943"/>
      <w:bookmarkStart w:id="13" w:name="_Toc4053"/>
      <w:r>
        <w:rPr>
          <w:rFonts w:eastAsia="仿宋_GB2312"/>
          <w:sz w:val="32"/>
          <w:szCs w:val="32"/>
        </w:rPr>
        <w:t>四、财政拨款收入支出决算总表</w:t>
      </w:r>
      <w:bookmarkEnd w:id="12"/>
      <w:bookmarkEnd w:id="13"/>
    </w:p>
    <w:p w14:paraId="55FA5332">
      <w:pPr>
        <w:pStyle w:val="17"/>
        <w:adjustRightInd w:val="0"/>
        <w:snapToGrid w:val="0"/>
        <w:spacing w:line="560" w:lineRule="exact"/>
        <w:ind w:left="0" w:leftChars="0" w:firstLine="640" w:firstLineChars="200"/>
        <w:jc w:val="left"/>
        <w:outlineLvl w:val="0"/>
        <w:rPr>
          <w:rFonts w:eastAsia="仿宋_GB2312"/>
          <w:sz w:val="32"/>
          <w:szCs w:val="32"/>
        </w:rPr>
      </w:pPr>
      <w:bookmarkStart w:id="14" w:name="_Toc6134"/>
      <w:bookmarkStart w:id="15" w:name="_Toc20423"/>
      <w:r>
        <w:rPr>
          <w:rFonts w:eastAsia="仿宋_GB2312"/>
          <w:sz w:val="32"/>
          <w:szCs w:val="32"/>
        </w:rPr>
        <w:t>五、财政拨款支出决算明细表</w:t>
      </w:r>
      <w:bookmarkEnd w:id="14"/>
      <w:bookmarkEnd w:id="15"/>
    </w:p>
    <w:p w14:paraId="3840CA9B">
      <w:pPr>
        <w:pStyle w:val="17"/>
        <w:adjustRightInd w:val="0"/>
        <w:snapToGrid w:val="0"/>
        <w:spacing w:line="560" w:lineRule="exact"/>
        <w:ind w:left="0" w:leftChars="0" w:firstLine="640" w:firstLineChars="200"/>
        <w:jc w:val="left"/>
        <w:outlineLvl w:val="0"/>
        <w:rPr>
          <w:rFonts w:eastAsia="仿宋_GB2312"/>
          <w:sz w:val="32"/>
          <w:szCs w:val="32"/>
        </w:rPr>
      </w:pPr>
      <w:bookmarkStart w:id="16" w:name="_Toc20598"/>
      <w:bookmarkStart w:id="17" w:name="_Toc12512"/>
      <w:r>
        <w:rPr>
          <w:rFonts w:eastAsia="仿宋_GB2312"/>
          <w:sz w:val="32"/>
          <w:szCs w:val="32"/>
        </w:rPr>
        <w:t>六、一般公共预算财政拨款支出决算表</w:t>
      </w:r>
      <w:bookmarkEnd w:id="16"/>
      <w:bookmarkEnd w:id="17"/>
    </w:p>
    <w:p w14:paraId="655F37EF">
      <w:pPr>
        <w:pStyle w:val="17"/>
        <w:adjustRightInd w:val="0"/>
        <w:snapToGrid w:val="0"/>
        <w:spacing w:line="560" w:lineRule="exact"/>
        <w:ind w:left="0" w:leftChars="0" w:firstLine="640" w:firstLineChars="200"/>
        <w:jc w:val="left"/>
        <w:outlineLvl w:val="0"/>
        <w:rPr>
          <w:rFonts w:eastAsia="仿宋_GB2312"/>
          <w:sz w:val="32"/>
          <w:szCs w:val="32"/>
        </w:rPr>
      </w:pPr>
      <w:bookmarkStart w:id="18" w:name="_Toc14218"/>
      <w:bookmarkStart w:id="19" w:name="_Toc8122"/>
      <w:r>
        <w:rPr>
          <w:rFonts w:eastAsia="仿宋_GB2312"/>
          <w:sz w:val="32"/>
          <w:szCs w:val="32"/>
        </w:rPr>
        <w:t>七、一般公共预算财政拨款支出决算明细表</w:t>
      </w:r>
      <w:bookmarkEnd w:id="18"/>
      <w:bookmarkEnd w:id="19"/>
    </w:p>
    <w:p w14:paraId="3E5E9227">
      <w:pPr>
        <w:pStyle w:val="17"/>
        <w:adjustRightInd w:val="0"/>
        <w:snapToGrid w:val="0"/>
        <w:spacing w:line="560" w:lineRule="exact"/>
        <w:ind w:left="0" w:leftChars="0" w:firstLine="640" w:firstLineChars="200"/>
        <w:jc w:val="left"/>
        <w:outlineLvl w:val="0"/>
        <w:rPr>
          <w:rFonts w:eastAsia="仿宋_GB2312"/>
          <w:sz w:val="32"/>
          <w:szCs w:val="32"/>
        </w:rPr>
      </w:pPr>
      <w:bookmarkStart w:id="20" w:name="_Toc24797"/>
      <w:bookmarkStart w:id="21" w:name="_Toc17749"/>
      <w:r>
        <w:rPr>
          <w:rFonts w:eastAsia="仿宋_GB2312"/>
          <w:sz w:val="32"/>
          <w:szCs w:val="32"/>
        </w:rPr>
        <w:t>八、一般公共预算财政拨款基本支出决算明细表</w:t>
      </w:r>
      <w:bookmarkEnd w:id="20"/>
      <w:bookmarkEnd w:id="21"/>
    </w:p>
    <w:p w14:paraId="10E0FA3B">
      <w:pPr>
        <w:pStyle w:val="17"/>
        <w:adjustRightInd w:val="0"/>
        <w:snapToGrid w:val="0"/>
        <w:spacing w:line="560" w:lineRule="exact"/>
        <w:ind w:left="0" w:leftChars="0" w:firstLine="640" w:firstLineChars="200"/>
        <w:jc w:val="left"/>
        <w:outlineLvl w:val="0"/>
        <w:rPr>
          <w:rFonts w:eastAsia="仿宋_GB2312"/>
          <w:sz w:val="32"/>
          <w:szCs w:val="32"/>
        </w:rPr>
      </w:pPr>
      <w:bookmarkStart w:id="22" w:name="_Toc24900"/>
      <w:bookmarkStart w:id="23" w:name="_Toc15202"/>
      <w:r>
        <w:rPr>
          <w:rFonts w:eastAsia="仿宋_GB2312"/>
          <w:sz w:val="32"/>
          <w:szCs w:val="32"/>
        </w:rPr>
        <w:t>九、一般公共预算财政拨款项目支出决算表</w:t>
      </w:r>
      <w:bookmarkEnd w:id="22"/>
      <w:bookmarkEnd w:id="23"/>
    </w:p>
    <w:p w14:paraId="16523D53">
      <w:pPr>
        <w:pStyle w:val="17"/>
        <w:adjustRightInd w:val="0"/>
        <w:snapToGrid w:val="0"/>
        <w:spacing w:line="560" w:lineRule="exact"/>
        <w:ind w:left="0" w:leftChars="0" w:firstLine="640" w:firstLineChars="200"/>
        <w:jc w:val="left"/>
        <w:outlineLvl w:val="0"/>
        <w:rPr>
          <w:rFonts w:eastAsia="仿宋_GB2312"/>
          <w:sz w:val="32"/>
          <w:szCs w:val="32"/>
        </w:rPr>
      </w:pPr>
      <w:bookmarkStart w:id="24" w:name="_Toc21091"/>
      <w:bookmarkStart w:id="25" w:name="_Toc15626"/>
      <w:r>
        <w:rPr>
          <w:rFonts w:eastAsia="仿宋_GB2312"/>
          <w:sz w:val="32"/>
          <w:szCs w:val="32"/>
        </w:rPr>
        <w:t>十、政府性基金预算财政拨款收入支出决算表</w:t>
      </w:r>
      <w:bookmarkEnd w:id="24"/>
      <w:bookmarkEnd w:id="25"/>
    </w:p>
    <w:p w14:paraId="44E83D48">
      <w:pPr>
        <w:pStyle w:val="17"/>
        <w:adjustRightInd w:val="0"/>
        <w:snapToGrid w:val="0"/>
        <w:spacing w:line="560" w:lineRule="exact"/>
        <w:ind w:left="0" w:leftChars="0" w:firstLine="640" w:firstLineChars="200"/>
        <w:jc w:val="left"/>
        <w:outlineLvl w:val="0"/>
        <w:rPr>
          <w:rFonts w:eastAsia="仿宋_GB2312"/>
          <w:sz w:val="32"/>
          <w:szCs w:val="32"/>
        </w:rPr>
      </w:pPr>
      <w:bookmarkStart w:id="26" w:name="_Toc11951"/>
      <w:bookmarkStart w:id="27" w:name="_Toc1626"/>
      <w:r>
        <w:rPr>
          <w:rFonts w:eastAsia="仿宋_GB2312"/>
          <w:sz w:val="32"/>
          <w:szCs w:val="32"/>
        </w:rPr>
        <w:t>十一、国有资本经营预算财政拨款收入支出决算表</w:t>
      </w:r>
      <w:bookmarkEnd w:id="26"/>
      <w:bookmarkEnd w:id="27"/>
    </w:p>
    <w:p w14:paraId="0C4173C2">
      <w:pPr>
        <w:pStyle w:val="17"/>
        <w:adjustRightInd w:val="0"/>
        <w:snapToGrid w:val="0"/>
        <w:spacing w:line="560" w:lineRule="exact"/>
        <w:ind w:left="0" w:leftChars="0" w:firstLine="640" w:firstLineChars="200"/>
        <w:jc w:val="left"/>
        <w:outlineLvl w:val="0"/>
        <w:rPr>
          <w:rFonts w:eastAsia="仿宋_GB2312"/>
          <w:sz w:val="32"/>
          <w:szCs w:val="32"/>
        </w:rPr>
      </w:pPr>
      <w:bookmarkStart w:id="28" w:name="_Toc20351"/>
      <w:bookmarkStart w:id="29" w:name="_Toc31169"/>
      <w:r>
        <w:rPr>
          <w:rFonts w:eastAsia="仿宋_GB2312"/>
          <w:sz w:val="32"/>
          <w:szCs w:val="32"/>
        </w:rPr>
        <w:t>十二、国有资本经营预算财政拨款支出决算表</w:t>
      </w:r>
      <w:bookmarkEnd w:id="28"/>
      <w:bookmarkEnd w:id="29"/>
    </w:p>
    <w:p w14:paraId="3BC7D7C9">
      <w:pPr>
        <w:pStyle w:val="17"/>
        <w:adjustRightInd w:val="0"/>
        <w:snapToGrid w:val="0"/>
        <w:spacing w:line="560" w:lineRule="exact"/>
        <w:ind w:left="0" w:leftChars="0" w:firstLine="640" w:firstLineChars="200"/>
        <w:jc w:val="left"/>
        <w:outlineLvl w:val="0"/>
        <w:rPr>
          <w:rFonts w:eastAsia="仿宋_GB2312"/>
          <w:sz w:val="32"/>
          <w:szCs w:val="32"/>
        </w:rPr>
      </w:pPr>
      <w:bookmarkStart w:id="30" w:name="_Toc17145"/>
      <w:bookmarkStart w:id="31" w:name="_Toc15845"/>
      <w:r>
        <w:rPr>
          <w:rFonts w:eastAsia="仿宋_GB2312"/>
          <w:sz w:val="32"/>
          <w:szCs w:val="32"/>
        </w:rPr>
        <w:t>十三、财政拨款“三公”经费支出决算表</w:t>
      </w:r>
      <w:bookmarkEnd w:id="30"/>
      <w:bookmarkEnd w:id="31"/>
    </w:p>
    <w:p w14:paraId="25EFA15E">
      <w:pPr>
        <w:widowControl/>
        <w:spacing w:line="560" w:lineRule="exact"/>
        <w:jc w:val="left"/>
        <w:rPr>
          <w:rFonts w:eastAsia="仿宋_GB2312"/>
          <w:b/>
          <w:sz w:val="32"/>
          <w:szCs w:val="32"/>
        </w:rPr>
        <w:sectPr>
          <w:footerReference r:id="rId7" w:type="first"/>
          <w:footerReference r:id="rId6" w:type="default"/>
          <w:pgSz w:w="11906" w:h="16838"/>
          <w:pgMar w:top="1814" w:right="1418" w:bottom="1418" w:left="1418" w:header="851" w:footer="992" w:gutter="0"/>
          <w:pgNumType w:fmt="numberInDash" w:start="1"/>
          <w:cols w:space="425" w:num="1"/>
          <w:titlePg/>
          <w:docGrid w:type="lines" w:linePitch="312" w:charSpace="0"/>
        </w:sectPr>
      </w:pPr>
      <w:bookmarkStart w:id="32" w:name="_Toc15396599"/>
      <w:bookmarkStart w:id="33" w:name="_Toc15377196"/>
      <w:r>
        <w:rPr>
          <w:rFonts w:eastAsia="仿宋_GB2312"/>
          <w:b/>
          <w:sz w:val="32"/>
          <w:szCs w:val="32"/>
        </w:rPr>
        <w:br w:type="page"/>
      </w:r>
    </w:p>
    <w:p w14:paraId="4F83372F">
      <w:pPr>
        <w:widowControl/>
        <w:spacing w:line="560" w:lineRule="exact"/>
        <w:jc w:val="left"/>
        <w:rPr>
          <w:rFonts w:eastAsia="仿宋_GB2312"/>
          <w:bCs/>
          <w:kern w:val="44"/>
          <w:sz w:val="32"/>
          <w:szCs w:val="32"/>
        </w:rPr>
      </w:pPr>
    </w:p>
    <w:p w14:paraId="4FC5D314">
      <w:pPr>
        <w:pStyle w:val="3"/>
        <w:spacing w:before="0" w:after="0" w:line="600" w:lineRule="exact"/>
        <w:jc w:val="center"/>
        <w:rPr>
          <w:rStyle w:val="33"/>
          <w:rFonts w:eastAsia="方正小标宋简体"/>
          <w:b/>
          <w:bCs w:val="0"/>
        </w:rPr>
      </w:pPr>
      <w:bookmarkStart w:id="34" w:name="_Toc2229"/>
      <w:bookmarkStart w:id="35" w:name="_Toc27237"/>
      <w:r>
        <w:rPr>
          <w:rFonts w:eastAsia="方正小标宋简体"/>
          <w:b w:val="0"/>
        </w:rPr>
        <w:t xml:space="preserve">第一部分  </w:t>
      </w:r>
      <w:r>
        <w:rPr>
          <w:rStyle w:val="33"/>
          <w:rFonts w:eastAsia="方正小标宋简体"/>
          <w:b w:val="0"/>
          <w:bCs w:val="0"/>
        </w:rPr>
        <w:t>部门概况</w:t>
      </w:r>
      <w:bookmarkEnd w:id="32"/>
      <w:bookmarkEnd w:id="33"/>
      <w:bookmarkEnd w:id="34"/>
      <w:bookmarkEnd w:id="35"/>
    </w:p>
    <w:p w14:paraId="39B7DED7">
      <w:pPr>
        <w:widowControl/>
        <w:spacing w:line="600" w:lineRule="exact"/>
        <w:jc w:val="left"/>
        <w:rPr>
          <w:rFonts w:eastAsia="黑体"/>
          <w:sz w:val="32"/>
          <w:szCs w:val="32"/>
        </w:rPr>
      </w:pPr>
    </w:p>
    <w:p w14:paraId="66839DD7">
      <w:pPr>
        <w:pStyle w:val="4"/>
        <w:numPr>
          <w:ilvl w:val="0"/>
          <w:numId w:val="1"/>
        </w:numPr>
        <w:spacing w:before="0" w:after="0" w:line="600" w:lineRule="exact"/>
        <w:rPr>
          <w:rFonts w:ascii="Times New Roman" w:hAnsi="Times New Roman" w:eastAsia="黑体" w:cs="Times New Roman"/>
          <w:b w:val="0"/>
        </w:rPr>
      </w:pPr>
      <w:bookmarkStart w:id="36" w:name="_Toc28746"/>
      <w:bookmarkStart w:id="37" w:name="_Toc32574"/>
      <w:r>
        <w:rPr>
          <w:rFonts w:ascii="Times New Roman" w:hAnsi="Times New Roman" w:eastAsia="黑体" w:cs="Times New Roman"/>
          <w:b w:val="0"/>
        </w:rPr>
        <w:t>部门职责</w:t>
      </w:r>
      <w:bookmarkEnd w:id="36"/>
      <w:bookmarkEnd w:id="37"/>
    </w:p>
    <w:p w14:paraId="43661312">
      <w:pPr>
        <w:pStyle w:val="18"/>
        <w:shd w:val="clear" w:color="auto" w:fill="FFFFFF"/>
        <w:spacing w:before="0" w:beforeAutospacing="0" w:after="0" w:afterAutospacing="0" w:line="600" w:lineRule="exact"/>
        <w:ind w:firstLine="640" w:firstLineChars="200"/>
        <w:jc w:val="both"/>
        <w:rPr>
          <w:rFonts w:eastAsia="仿宋_GB2312"/>
          <w:kern w:val="2"/>
          <w:sz w:val="32"/>
          <w:szCs w:val="32"/>
        </w:rPr>
      </w:pPr>
      <w:r>
        <w:rPr>
          <w:rFonts w:eastAsia="仿宋_GB2312"/>
          <w:kern w:val="2"/>
          <w:sz w:val="32"/>
          <w:szCs w:val="32"/>
        </w:rPr>
        <w:t>（1）贯彻实施国家、省有关工业经济、信息化和无线电管理的方针、政策和法律、法规，组织实施国家西部大开发战略等有关工业经济的政策措施，研究拟订全市有关工业经济、信息化和无线电管理的政策措施并组织实施；负责本系统、本部门依法行政工作，落实行政执法责任制。组织推动信息化和工业化融合、工业化与城镇化联动，负责推进全市工业结构调整。</w:t>
      </w:r>
    </w:p>
    <w:p w14:paraId="6FD4A21D">
      <w:pPr>
        <w:pStyle w:val="18"/>
        <w:shd w:val="clear" w:color="auto" w:fill="FFFFFF"/>
        <w:spacing w:before="0" w:beforeAutospacing="0" w:after="0" w:afterAutospacing="0" w:line="600" w:lineRule="exact"/>
        <w:ind w:firstLine="640" w:firstLineChars="200"/>
        <w:jc w:val="both"/>
        <w:rPr>
          <w:rFonts w:eastAsia="仿宋_GB2312"/>
          <w:kern w:val="2"/>
          <w:sz w:val="32"/>
          <w:szCs w:val="32"/>
        </w:rPr>
      </w:pPr>
      <w:r>
        <w:rPr>
          <w:rFonts w:eastAsia="仿宋_GB2312"/>
          <w:kern w:val="2"/>
          <w:sz w:val="32"/>
          <w:szCs w:val="32"/>
        </w:rPr>
        <w:t>（2）负责拟订新型工业化发展战略和重大政策，协调解决新型工业化进程中的重大问题，组织实施工业强市战略。参与制订国民经济和社会发展规划，负责制定并组织实施工业、信息化相关行业的发展规划、年度计划和产业政策，拟订行业技术规范与行业标准并组织实施，指导行业质量管理工作。</w:t>
      </w:r>
    </w:p>
    <w:p w14:paraId="02495387">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3）监测、分析经济运行态势和质量，建立全市工业经济运行预警机制，拟订中、近期经济运行目标、政策并组织实施，协调解决经济运行中的重大问题。负责电力、煤炭、成品油、天然气等重要物资综合调控、紧急调度和交通运输协调工作，负责市级医药储备的监督管理。承办年度工业经济目标责任考核。</w:t>
      </w:r>
    </w:p>
    <w:p w14:paraId="201E237A">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4）负责全市企业技术改造推进工作，组织制定并实施全市企业技术改造投资规划和政策，制定并发布全市企业技术改造投资项目引导目录。提出工业和信息化固定资产投资规模的意见，按照规定权限审批、核准、备案或转报审批、核准、备案全市企业技术改造项目，组织企业技术改造项目申报国家、省有关专项计划并组织实施。</w:t>
      </w:r>
    </w:p>
    <w:p w14:paraId="447084BC">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5）负责全市企业技术创新体系建设，制定鼓励企业技术创新的政策措施，指导企业技术创新、技术引进、重大装备国产化和重大技术装备研制，编制下达全市企业技术创新项目计划并组织实施，按照规定程序会同有关部门组织企业开展技术中心申报、认定和建设管理工作。</w:t>
      </w:r>
    </w:p>
    <w:p w14:paraId="435CCD0C">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6）负责全市产业园区建设发展的牵头服务和综合协调工作，拟订并组织实施产业园区、产业集群发展规划和政策措施，指导产业园区合理布局，负责牵头推进重点产业园区建设发展，推进园区公共配套设施建设，组织申报、实施产业园区公共服务平台项目计划。</w:t>
      </w:r>
    </w:p>
    <w:p w14:paraId="2C2D5F79">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7）负责全市工业和信息化领域的节能降耗、清洁生产和资源节约与综合利用工作，协调推进工业化与生态环境协调发展中的重大问题，组织实施相关重大示范项目和新产品、新技术、新工艺、新设备、新材料的推广应用。</w:t>
      </w:r>
    </w:p>
    <w:p w14:paraId="7649B5A7">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8）负责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w:t>
      </w:r>
    </w:p>
    <w:p w14:paraId="2FBF1EBC">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9）对国家重大工业经济政策实施情况进行督查，指导企业建立现代企业制度、改组改造、兼并重组，负责全市企业治乱减负工作，指导企业经营管理人员、专业技术人员培训，负责全市大企业大集团和龙头骨干企业的培育工作，负责全市中小企业发展的指导推进工作，综合协调有关部门拟订促进中小企业发展的政策措施，负责推进中小企业服务体系建设。</w:t>
      </w:r>
    </w:p>
    <w:p w14:paraId="431DC35A">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10）负责对全市工业各行业实施行业管理，制定并组织实施相关政策措施，拟订新材料、节能环保、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14:paraId="7F20EA45">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（11）统筹推进全市信息化工作，制定并组织实施相关政策，指导电子政务、企业信息化、电子商务和物联网发展，推动跨行业、跨部门面向社会服务网络的互联互通和信息资源共享。</w:t>
      </w:r>
    </w:p>
    <w:p w14:paraId="006BF4F5">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（12）负责全市信息基础设施建设的规划、协调和管理，组织相关部门制订通信管线规划并承担相应的管理工作，协调电信市场涉及社会公共利益的重大事项。</w:t>
      </w:r>
    </w:p>
    <w:p w14:paraId="1A47D177">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（13）组织协调全市信息安全保障体系建设，指导和监督政府部门、重点行业的重要信息系统与信息网络的安全保障工作，指导信息安全防范工作，参与处理网络与信息安全重大事件。</w:t>
      </w:r>
    </w:p>
    <w:p w14:paraId="3A386691">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（14）协助做好无线电电磁环境保护工作，负责无线电监测、检测和干扰查处，协调军地无线电管理相关事宜，维护空中电波秩序，依法组织实施无线电管制。</w:t>
      </w:r>
    </w:p>
    <w:p w14:paraId="55E335D2">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（15）会同有关部门提出工业和信息化领域对外开放和利用外资的政策建议，参与区域经济合作和承接产业转移工作。指导工业和信息化企业开展对外交流与合作、国际化经营、境外投资及兼并重组。</w:t>
      </w:r>
    </w:p>
    <w:p w14:paraId="19614B2B">
      <w:pPr>
        <w:pStyle w:val="18"/>
        <w:shd w:val="clear" w:color="auto" w:fill="FFFFFF"/>
        <w:spacing w:before="0" w:beforeAutospacing="0" w:after="0" w:afterAutospacing="0" w:line="600" w:lineRule="exact"/>
        <w:ind w:firstLine="640"/>
        <w:jc w:val="both"/>
        <w:rPr>
          <w:rFonts w:eastAsia="仿宋_GB2312"/>
          <w:kern w:val="2"/>
          <w:sz w:val="32"/>
          <w:szCs w:val="32"/>
        </w:rPr>
      </w:pPr>
      <w:r>
        <w:rPr>
          <w:rFonts w:eastAsia="仿宋_GB2312"/>
          <w:kern w:val="2"/>
          <w:sz w:val="32"/>
          <w:szCs w:val="32"/>
        </w:rPr>
        <w:t>（16）承担市政府公布的有关行政审批事项。</w:t>
      </w:r>
    </w:p>
    <w:p w14:paraId="23DB3F44">
      <w:pPr>
        <w:pStyle w:val="23"/>
        <w:spacing w:line="600" w:lineRule="exact"/>
        <w:ind w:firstLine="640"/>
      </w:pPr>
      <w:r>
        <w:rPr>
          <w:rFonts w:eastAsia="仿宋_GB2312"/>
          <w:sz w:val="32"/>
          <w:szCs w:val="32"/>
        </w:rPr>
        <w:t>（17）承办市政府交办的其他事项。</w:t>
      </w:r>
    </w:p>
    <w:p w14:paraId="718ABA31">
      <w:pPr>
        <w:spacing w:line="600" w:lineRule="exact"/>
      </w:pPr>
    </w:p>
    <w:p w14:paraId="02AF8FA4">
      <w:pPr>
        <w:pStyle w:val="4"/>
        <w:numPr>
          <w:ilvl w:val="0"/>
          <w:numId w:val="1"/>
        </w:numPr>
        <w:spacing w:before="0" w:after="0" w:line="600" w:lineRule="exact"/>
        <w:rPr>
          <w:rStyle w:val="34"/>
          <w:rFonts w:ascii="Times New Roman" w:hAnsi="Times New Roman" w:eastAsia="黑体" w:cs="Times New Roman"/>
          <w:b w:val="0"/>
          <w:bCs w:val="0"/>
        </w:rPr>
      </w:pPr>
      <w:bookmarkStart w:id="38" w:name="_Toc30816"/>
      <w:bookmarkStart w:id="39" w:name="_Toc15377200"/>
      <w:bookmarkStart w:id="40" w:name="_Toc15396601"/>
      <w:bookmarkStart w:id="41" w:name="_Toc11601"/>
      <w:r>
        <w:rPr>
          <w:rFonts w:ascii="Times New Roman" w:hAnsi="Times New Roman" w:eastAsia="黑体" w:cs="Times New Roman"/>
          <w:b w:val="0"/>
        </w:rPr>
        <w:t>机</w:t>
      </w:r>
      <w:r>
        <w:rPr>
          <w:rStyle w:val="34"/>
          <w:rFonts w:ascii="Times New Roman" w:hAnsi="Times New Roman" w:eastAsia="黑体" w:cs="Times New Roman"/>
          <w:b w:val="0"/>
          <w:bCs w:val="0"/>
        </w:rPr>
        <w:t>构设置</w:t>
      </w:r>
      <w:bookmarkEnd w:id="38"/>
      <w:bookmarkEnd w:id="39"/>
      <w:bookmarkEnd w:id="40"/>
      <w:bookmarkEnd w:id="41"/>
    </w:p>
    <w:p w14:paraId="6C7F4415">
      <w:pPr>
        <w:snapToGrid w:val="0"/>
        <w:spacing w:line="600" w:lineRule="exact"/>
        <w:ind w:firstLine="640" w:firstLineChars="200"/>
      </w:pPr>
      <w:r>
        <w:rPr>
          <w:rFonts w:eastAsia="仿宋_GB2312"/>
          <w:color w:val="333333"/>
          <w:kern w:val="0"/>
          <w:sz w:val="32"/>
          <w:szCs w:val="32"/>
          <w:shd w:val="clear" w:color="auto" w:fill="FFFFFF"/>
        </w:rPr>
        <w:t>内设办公室、 综合科、运行保障科、产业园区科、技术改造与创新科、环境和资源综合利用科、民营经济发展促进科、创业促进与服务体系科、信息化科、电子与新兴产业科、锂电及新兴产业科、机械与装备科、食品与盐业科、轻纺化工科、无线电监督管理科(市无线电办公室)、人事培训科、市委军民融合发展办秘书科、机关党委办18个科室，下属遂宁市无线电监测站、</w:t>
      </w:r>
      <w:bookmarkStart w:id="42" w:name="OLE_LINK1"/>
      <w:r>
        <w:rPr>
          <w:rFonts w:eastAsia="仿宋_GB2312"/>
          <w:color w:val="333333"/>
          <w:kern w:val="0"/>
          <w:sz w:val="32"/>
          <w:szCs w:val="32"/>
          <w:shd w:val="clear" w:color="auto" w:fill="FFFFFF"/>
        </w:rPr>
        <w:t>遂宁市工业经济发展中心</w:t>
      </w:r>
      <w:bookmarkEnd w:id="42"/>
      <w:r>
        <w:rPr>
          <w:rFonts w:eastAsia="仿宋_GB2312"/>
          <w:color w:val="333333"/>
          <w:kern w:val="0"/>
          <w:sz w:val="32"/>
          <w:szCs w:val="32"/>
          <w:shd w:val="clear" w:color="auto" w:fill="FFFFFF"/>
        </w:rPr>
        <w:t>（2024年机构改革，原遂宁市工业节能和电力监察执法支队更名为遂宁市工业经济发展中心）两个事业单位。</w:t>
      </w:r>
    </w:p>
    <w:p w14:paraId="3A3AA77F">
      <w:pPr>
        <w:pStyle w:val="23"/>
        <w:spacing w:line="600" w:lineRule="exact"/>
        <w:ind w:firstLine="0" w:firstLineChars="0"/>
      </w:pPr>
    </w:p>
    <w:p w14:paraId="7572B1B3">
      <w:pPr>
        <w:widowControl/>
        <w:spacing w:line="600" w:lineRule="exact"/>
        <w:jc w:val="left"/>
        <w:rPr>
          <w:rFonts w:eastAsia="仿宋"/>
          <w:kern w:val="0"/>
          <w:sz w:val="32"/>
          <w:szCs w:val="32"/>
        </w:rPr>
      </w:pPr>
      <w:r>
        <w:rPr>
          <w:rFonts w:eastAsia="仿宋"/>
          <w:sz w:val="32"/>
          <w:szCs w:val="32"/>
        </w:rPr>
        <w:br w:type="page"/>
      </w:r>
    </w:p>
    <w:p w14:paraId="5B13F679">
      <w:pPr>
        <w:pStyle w:val="3"/>
        <w:spacing w:before="0" w:after="0" w:line="600" w:lineRule="exact"/>
        <w:jc w:val="center"/>
        <w:rPr>
          <w:rFonts w:eastAsia="方正小标宋简体"/>
          <w:b w:val="0"/>
        </w:rPr>
      </w:pPr>
      <w:bookmarkStart w:id="43" w:name="_Toc15377204"/>
      <w:bookmarkStart w:id="44" w:name="_Toc10252"/>
      <w:bookmarkStart w:id="45" w:name="_Toc27181"/>
      <w:bookmarkStart w:id="46" w:name="_Toc15396602"/>
    </w:p>
    <w:p w14:paraId="087FF214">
      <w:pPr>
        <w:pStyle w:val="3"/>
        <w:spacing w:before="0" w:after="0" w:line="600" w:lineRule="exact"/>
        <w:jc w:val="center"/>
        <w:rPr>
          <w:rFonts w:eastAsia="方正小标宋简体"/>
          <w:b w:val="0"/>
        </w:rPr>
      </w:pPr>
      <w:r>
        <w:rPr>
          <w:rFonts w:eastAsia="方正小标宋简体"/>
          <w:b w:val="0"/>
        </w:rPr>
        <w:t>第二部分  2024年度部门决算情况说明</w:t>
      </w:r>
      <w:bookmarkEnd w:id="43"/>
      <w:bookmarkEnd w:id="44"/>
      <w:bookmarkEnd w:id="45"/>
      <w:bookmarkEnd w:id="46"/>
    </w:p>
    <w:p w14:paraId="6427EDEB">
      <w:pPr>
        <w:spacing w:line="600" w:lineRule="exact"/>
      </w:pPr>
    </w:p>
    <w:p w14:paraId="56DC7372">
      <w:pPr>
        <w:pStyle w:val="32"/>
        <w:spacing w:line="600" w:lineRule="exact"/>
        <w:ind w:firstLine="640"/>
        <w:outlineLvl w:val="1"/>
        <w:rPr>
          <w:rStyle w:val="34"/>
          <w:rFonts w:ascii="Times New Roman" w:hAnsi="Times New Roman" w:eastAsia="黑体" w:cs="Times New Roman"/>
          <w:b w:val="0"/>
        </w:rPr>
      </w:pPr>
      <w:bookmarkStart w:id="47" w:name="_Toc29679"/>
      <w:bookmarkStart w:id="48" w:name="_Toc15396603"/>
      <w:bookmarkStart w:id="49" w:name="_Toc15377205"/>
      <w:bookmarkStart w:id="50" w:name="_Toc30603"/>
      <w:r>
        <w:rPr>
          <w:rFonts w:eastAsia="黑体"/>
          <w:sz w:val="32"/>
          <w:szCs w:val="32"/>
        </w:rPr>
        <w:t>一、收</w:t>
      </w:r>
      <w:r>
        <w:rPr>
          <w:rStyle w:val="34"/>
          <w:rFonts w:ascii="Times New Roman" w:hAnsi="Times New Roman" w:eastAsia="黑体" w:cs="Times New Roman"/>
          <w:b w:val="0"/>
        </w:rPr>
        <w:t>入支出决算总体情况说明</w:t>
      </w:r>
      <w:bookmarkEnd w:id="47"/>
      <w:bookmarkEnd w:id="48"/>
      <w:bookmarkEnd w:id="49"/>
      <w:bookmarkEnd w:id="50"/>
    </w:p>
    <w:p w14:paraId="69B07FAB">
      <w:pPr>
        <w:pStyle w:val="32"/>
        <w:spacing w:line="600" w:lineRule="exact"/>
        <w:ind w:firstLine="640"/>
        <w:outlineLvl w:val="1"/>
        <w:rPr>
          <w:rFonts w:eastAsia="仿宋_GB2312"/>
          <w:sz w:val="32"/>
          <w:szCs w:val="32"/>
        </w:rPr>
      </w:pPr>
      <w:bookmarkStart w:id="51" w:name="_Toc30731"/>
      <w:bookmarkStart w:id="52" w:name="_Toc10107"/>
      <w:r>
        <w:rPr>
          <w:rFonts w:eastAsia="仿宋_GB2312"/>
          <w:sz w:val="32"/>
          <w:szCs w:val="32"/>
        </w:rPr>
        <w:t>2024年度收入、支出总计均为2808.63万元。与2023年度相比，收入、支出总计各减少501.36万元，下降15.15%。主要变动原因是</w:t>
      </w:r>
      <w:bookmarkEnd w:id="51"/>
      <w:bookmarkEnd w:id="52"/>
      <w:r>
        <w:rPr>
          <w:rFonts w:eastAsia="仿宋_GB2312"/>
          <w:sz w:val="32"/>
          <w:szCs w:val="32"/>
        </w:rPr>
        <w:t>厉行节约，项目经费的减少。</w:t>
      </w:r>
    </w:p>
    <w:p w14:paraId="636F14FD">
      <w:pPr>
        <w:spacing w:line="600" w:lineRule="exact"/>
        <w:ind w:firstLine="640" w:firstLineChars="200"/>
        <w:rPr>
          <w:rFonts w:eastAsia="仿宋_GB2312"/>
          <w:sz w:val="32"/>
          <w:szCs w:val="32"/>
        </w:rPr>
      </w:pPr>
      <w:r>
        <w:rPr>
          <w:rFonts w:eastAsia="仿宋_GB2312"/>
          <w:sz w:val="32"/>
          <w:szCs w:val="32"/>
        </w:rPr>
        <w:t>（图1：收入、支出决算总计变动情况图）（柱状图）</w:t>
      </w:r>
    </w:p>
    <w:p w14:paraId="1B110512">
      <w:pPr>
        <w:pStyle w:val="23"/>
        <w:ind w:firstLine="640"/>
        <w:rPr>
          <w:rFonts w:eastAsia="仿宋_GB2312"/>
          <w:sz w:val="32"/>
          <w:szCs w:val="32"/>
        </w:rPr>
      </w:pPr>
    </w:p>
    <w:p w14:paraId="4BB1F28C">
      <w:pPr>
        <w:pStyle w:val="23"/>
        <w:ind w:firstLine="640"/>
        <w:rPr>
          <w:rFonts w:eastAsia="仿宋_GB2312"/>
          <w:sz w:val="32"/>
          <w:szCs w:val="32"/>
        </w:rPr>
      </w:pPr>
      <w:r>
        <w:rPr>
          <w:rFonts w:eastAsia="仿宋"/>
          <w:sz w:val="32"/>
          <w:szCs w:val="32"/>
        </w:rPr>
        <w:pict>
          <v:shape id="对象 9" o:spid="_x0000_s1029" o:spt="75" type="#_x0000_t75" style="position:absolute;left:0pt;margin-left:0pt;margin-top:-19.45pt;height:186.45pt;width:424.65pt;z-index:251659264;mso-width-relative:page;mso-height-relative:page;" o:ole="t" filled="f" o:preferrelative="t" stroked="f" coordsize="21600,21600">
            <v:path/>
            <v:fill on="f" focussize="0,0"/>
            <v:stroke on="f" joinstyle="miter"/>
            <v:imagedata r:id="rId10" o:title=""/>
            <o:lock v:ext="edit" aspectratio="f"/>
          </v:shape>
          <o:OLEObject Type="Embed" ProgID="Office12.Excel.Template" ShapeID="对象 9" DrawAspect="Content" ObjectID="_1468075725" r:id="rId9">
            <o:LockedField>false</o:LockedField>
          </o:OLEObject>
        </w:pict>
      </w:r>
    </w:p>
    <w:p w14:paraId="283BA0F8"/>
    <w:p w14:paraId="7D3A2DC8">
      <w:pPr>
        <w:pStyle w:val="23"/>
        <w:ind w:firstLine="640"/>
        <w:rPr>
          <w:rFonts w:eastAsia="仿宋_GB2312"/>
          <w:sz w:val="32"/>
          <w:szCs w:val="32"/>
        </w:rPr>
      </w:pPr>
    </w:p>
    <w:p w14:paraId="4CEF78B0">
      <w:pPr>
        <w:rPr>
          <w:rFonts w:eastAsia="仿宋_GB2312"/>
          <w:sz w:val="32"/>
          <w:szCs w:val="32"/>
        </w:rPr>
      </w:pPr>
    </w:p>
    <w:p w14:paraId="31B695E7">
      <w:pPr>
        <w:pStyle w:val="23"/>
        <w:ind w:firstLine="640"/>
        <w:rPr>
          <w:rFonts w:eastAsia="仿宋_GB2312"/>
          <w:sz w:val="32"/>
          <w:szCs w:val="32"/>
        </w:rPr>
      </w:pPr>
    </w:p>
    <w:p w14:paraId="2163226A"/>
    <w:p w14:paraId="72CE2BA4">
      <w:pPr>
        <w:ind w:firstLine="640" w:firstLineChars="200"/>
        <w:rPr>
          <w:rFonts w:eastAsia="仿宋_GB2312"/>
          <w:sz w:val="32"/>
          <w:szCs w:val="32"/>
        </w:rPr>
      </w:pPr>
    </w:p>
    <w:p w14:paraId="57FEAAB8">
      <w:pPr>
        <w:pStyle w:val="32"/>
        <w:spacing w:line="600" w:lineRule="exact"/>
        <w:ind w:firstLine="640"/>
        <w:outlineLvl w:val="1"/>
        <w:rPr>
          <w:rFonts w:eastAsia="黑体"/>
          <w:sz w:val="32"/>
          <w:szCs w:val="32"/>
        </w:rPr>
      </w:pPr>
      <w:bookmarkStart w:id="53" w:name="_Toc15377206"/>
      <w:bookmarkStart w:id="54" w:name="_Toc15396604"/>
      <w:bookmarkStart w:id="55" w:name="_Toc24432"/>
      <w:bookmarkStart w:id="56" w:name="_Toc3946"/>
      <w:r>
        <w:rPr>
          <w:rFonts w:eastAsia="黑体"/>
          <w:sz w:val="32"/>
          <w:szCs w:val="32"/>
        </w:rPr>
        <w:t>二、收入决算情况说明</w:t>
      </w:r>
      <w:bookmarkEnd w:id="53"/>
      <w:bookmarkEnd w:id="54"/>
      <w:bookmarkEnd w:id="55"/>
      <w:bookmarkEnd w:id="56"/>
    </w:p>
    <w:p w14:paraId="2E3E4D16">
      <w:pPr>
        <w:pStyle w:val="32"/>
        <w:spacing w:line="600" w:lineRule="exact"/>
        <w:ind w:firstLine="640"/>
        <w:jc w:val="left"/>
        <w:outlineLvl w:val="1"/>
        <w:rPr>
          <w:rFonts w:eastAsia="仿宋_GB2312"/>
          <w:b/>
          <w:bCs/>
          <w:sz w:val="32"/>
          <w:szCs w:val="32"/>
        </w:rPr>
      </w:pPr>
      <w:bookmarkStart w:id="57" w:name="_Toc1666"/>
      <w:bookmarkStart w:id="58" w:name="_Toc14163"/>
      <w:r>
        <w:rPr>
          <w:rFonts w:eastAsia="仿宋_GB2312"/>
          <w:sz w:val="32"/>
          <w:szCs w:val="32"/>
        </w:rPr>
        <w:t>2024年度本年收入合计2779.43万元，其中：一般公共预算财政拨款收入2653.43万元，占95.46%；其他收入126万元，占4.53%。</w:t>
      </w:r>
      <w:r>
        <w:rPr>
          <w:rFonts w:eastAsia="仿宋_GB2312"/>
          <w:b/>
          <w:bCs/>
          <w:sz w:val="32"/>
          <w:szCs w:val="32"/>
        </w:rPr>
        <w:t>（注：仅罗列本部门涉及的收入）</w:t>
      </w:r>
      <w:bookmarkEnd w:id="57"/>
      <w:bookmarkEnd w:id="58"/>
    </w:p>
    <w:p w14:paraId="2C39F9A8">
      <w:pPr>
        <w:ind w:firstLine="800" w:firstLineChars="250"/>
        <w:rPr>
          <w:rFonts w:eastAsia="仿宋_GB2312"/>
          <w:sz w:val="32"/>
          <w:szCs w:val="32"/>
        </w:rPr>
      </w:pPr>
      <w:r>
        <w:rPr>
          <w:rFonts w:eastAsia="仿宋_GB2312"/>
          <w:sz w:val="32"/>
          <w:szCs w:val="32"/>
        </w:rPr>
        <w:t>（图2：收入决算结构图）（饼状图）</w:t>
      </w:r>
    </w:p>
    <w:p w14:paraId="5012994D">
      <w:pPr>
        <w:pStyle w:val="23"/>
        <w:ind w:firstLine="420"/>
      </w:pPr>
    </w:p>
    <w:p w14:paraId="6C6AC61A">
      <w:pPr>
        <w:rPr>
          <w:rFonts w:eastAsia="仿宋_GB2312"/>
          <w:sz w:val="32"/>
          <w:szCs w:val="32"/>
        </w:rPr>
      </w:pPr>
      <w:r>
        <w:rPr>
          <w:rFonts w:eastAsia="仿宋_GB2312"/>
          <w:sz w:val="32"/>
          <w:szCs w:val="32"/>
        </w:rPr>
        <w:pict>
          <v:shape id="Object 3" o:spid="_x0000_s1030" o:spt="75" alt="oleetimg_1708487548607881_1190496256" type="#_x0000_t75" style="position:absolute;left:0pt;margin-left:36.5pt;margin-top:-10.45pt;height:229.15pt;width:352.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2" o:title=""/>
            <o:lock v:ext="edit" aspectratio="t"/>
            <w10:wrap type="square"/>
          </v:shape>
          <o:OLEObject Type="Embed" ProgID="Office12.Excel.Template" ShapeID="Object 3" DrawAspect="Content" ObjectID="_1468075726" r:id="rId11">
            <o:LockedField>false</o:LockedField>
          </o:OLEObject>
        </w:pict>
      </w:r>
    </w:p>
    <w:p w14:paraId="6470845B">
      <w:pPr>
        <w:pStyle w:val="23"/>
        <w:ind w:firstLine="640"/>
        <w:rPr>
          <w:rFonts w:eastAsia="仿宋_GB2312"/>
          <w:sz w:val="32"/>
          <w:szCs w:val="32"/>
        </w:rPr>
      </w:pPr>
    </w:p>
    <w:p w14:paraId="155F279D">
      <w:pPr>
        <w:rPr>
          <w:rFonts w:eastAsia="仿宋_GB2312"/>
          <w:sz w:val="32"/>
          <w:szCs w:val="32"/>
        </w:rPr>
      </w:pPr>
    </w:p>
    <w:p w14:paraId="3A76ED33">
      <w:pPr>
        <w:pStyle w:val="23"/>
        <w:ind w:firstLine="640"/>
        <w:rPr>
          <w:rFonts w:eastAsia="仿宋_GB2312"/>
          <w:sz w:val="32"/>
          <w:szCs w:val="32"/>
        </w:rPr>
      </w:pPr>
    </w:p>
    <w:p w14:paraId="2F3FE2F1"/>
    <w:p w14:paraId="31A12F3B">
      <w:pPr>
        <w:pStyle w:val="32"/>
        <w:spacing w:line="600" w:lineRule="exact"/>
        <w:ind w:firstLine="0" w:firstLineChars="0"/>
        <w:rPr>
          <w:rFonts w:eastAsia="黑体"/>
          <w:sz w:val="32"/>
          <w:szCs w:val="32"/>
        </w:rPr>
      </w:pPr>
      <w:bookmarkStart w:id="59" w:name="_Toc15396605"/>
      <w:bookmarkStart w:id="60" w:name="_Toc15377207"/>
    </w:p>
    <w:p w14:paraId="1545D0C5">
      <w:pPr>
        <w:pStyle w:val="32"/>
        <w:spacing w:line="600" w:lineRule="exact"/>
        <w:ind w:firstLine="640"/>
        <w:outlineLvl w:val="1"/>
        <w:rPr>
          <w:rFonts w:eastAsia="黑体"/>
          <w:sz w:val="32"/>
          <w:szCs w:val="32"/>
        </w:rPr>
      </w:pPr>
      <w:bookmarkStart w:id="61" w:name="_Toc29116"/>
      <w:bookmarkStart w:id="62" w:name="_Toc10789"/>
    </w:p>
    <w:p w14:paraId="16E1ECA1">
      <w:pPr>
        <w:pStyle w:val="32"/>
        <w:spacing w:line="600" w:lineRule="exact"/>
        <w:ind w:firstLine="640"/>
        <w:outlineLvl w:val="1"/>
        <w:rPr>
          <w:rFonts w:eastAsia="黑体"/>
          <w:sz w:val="32"/>
          <w:szCs w:val="32"/>
        </w:rPr>
      </w:pPr>
    </w:p>
    <w:p w14:paraId="0930F8B5">
      <w:pPr>
        <w:pStyle w:val="32"/>
        <w:spacing w:line="600" w:lineRule="exact"/>
        <w:ind w:firstLine="640"/>
        <w:outlineLvl w:val="1"/>
        <w:rPr>
          <w:rStyle w:val="34"/>
          <w:rFonts w:ascii="Times New Roman" w:hAnsi="Times New Roman" w:eastAsia="黑体" w:cs="Times New Roman"/>
          <w:b w:val="0"/>
        </w:rPr>
      </w:pPr>
      <w:r>
        <w:rPr>
          <w:rFonts w:eastAsia="黑体"/>
          <w:sz w:val="32"/>
          <w:szCs w:val="32"/>
        </w:rPr>
        <w:t>三、支</w:t>
      </w:r>
      <w:r>
        <w:rPr>
          <w:rStyle w:val="34"/>
          <w:rFonts w:ascii="Times New Roman" w:hAnsi="Times New Roman" w:eastAsia="黑体" w:cs="Times New Roman"/>
          <w:b w:val="0"/>
        </w:rPr>
        <w:t>出决算情况说明</w:t>
      </w:r>
      <w:bookmarkEnd w:id="59"/>
      <w:bookmarkEnd w:id="60"/>
      <w:bookmarkEnd w:id="61"/>
      <w:bookmarkEnd w:id="62"/>
    </w:p>
    <w:p w14:paraId="4A753227">
      <w:pPr>
        <w:pStyle w:val="32"/>
        <w:spacing w:line="600" w:lineRule="exact"/>
        <w:ind w:firstLine="640"/>
        <w:jc w:val="left"/>
        <w:outlineLvl w:val="1"/>
        <w:rPr>
          <w:rFonts w:eastAsia="仿宋_GB2312"/>
          <w:sz w:val="32"/>
          <w:szCs w:val="32"/>
        </w:rPr>
      </w:pPr>
      <w:bookmarkStart w:id="63" w:name="_Toc26161"/>
      <w:bookmarkStart w:id="64" w:name="_Toc13565"/>
      <w:r>
        <w:rPr>
          <w:rFonts w:eastAsia="仿宋_GB2312"/>
          <w:sz w:val="32"/>
          <w:szCs w:val="32"/>
        </w:rPr>
        <w:t>2024</w:t>
      </w:r>
      <w:r>
        <w:rPr>
          <w:rFonts w:hAnsi="仿宋_GB2312" w:eastAsia="仿宋_GB2312"/>
          <w:sz w:val="32"/>
          <w:szCs w:val="32"/>
        </w:rPr>
        <w:t>年度本年支出合计</w:t>
      </w:r>
      <w:r>
        <w:rPr>
          <w:rFonts w:eastAsia="仿宋_GB2312"/>
          <w:sz w:val="32"/>
          <w:szCs w:val="32"/>
        </w:rPr>
        <w:t>2750.62</w:t>
      </w:r>
      <w:r>
        <w:rPr>
          <w:rFonts w:hAnsi="仿宋_GB2312" w:eastAsia="仿宋_GB2312"/>
          <w:sz w:val="32"/>
          <w:szCs w:val="32"/>
        </w:rPr>
        <w:t>万元，其中：基本支出</w:t>
      </w:r>
      <w:r>
        <w:rPr>
          <w:rFonts w:eastAsia="仿宋_GB2312"/>
          <w:sz w:val="32"/>
          <w:szCs w:val="32"/>
        </w:rPr>
        <w:t>2101.52</w:t>
      </w:r>
      <w:r>
        <w:rPr>
          <w:rFonts w:hAnsi="仿宋_GB2312" w:eastAsia="仿宋_GB2312"/>
          <w:sz w:val="32"/>
          <w:szCs w:val="32"/>
        </w:rPr>
        <w:t>万元，占</w:t>
      </w:r>
      <w:r>
        <w:rPr>
          <w:rFonts w:eastAsia="仿宋_GB2312"/>
          <w:sz w:val="32"/>
          <w:szCs w:val="32"/>
        </w:rPr>
        <w:t>76.4%</w:t>
      </w:r>
      <w:r>
        <w:rPr>
          <w:rFonts w:hAnsi="仿宋_GB2312" w:eastAsia="仿宋_GB2312"/>
          <w:sz w:val="32"/>
          <w:szCs w:val="32"/>
        </w:rPr>
        <w:t>；项目支出</w:t>
      </w:r>
      <w:r>
        <w:rPr>
          <w:rFonts w:eastAsia="仿宋_GB2312"/>
          <w:sz w:val="32"/>
          <w:szCs w:val="32"/>
        </w:rPr>
        <w:t>649.1</w:t>
      </w:r>
      <w:r>
        <w:rPr>
          <w:rFonts w:hAnsi="仿宋_GB2312" w:eastAsia="仿宋_GB2312"/>
          <w:sz w:val="32"/>
          <w:szCs w:val="32"/>
        </w:rPr>
        <w:t>万元，占</w:t>
      </w:r>
      <w:r>
        <w:rPr>
          <w:rFonts w:eastAsia="仿宋_GB2312"/>
          <w:sz w:val="32"/>
          <w:szCs w:val="32"/>
        </w:rPr>
        <w:t>23.59%</w:t>
      </w:r>
      <w:r>
        <w:rPr>
          <w:rFonts w:hAnsi="仿宋_GB2312" w:eastAsia="仿宋_GB2312"/>
          <w:sz w:val="32"/>
          <w:szCs w:val="32"/>
        </w:rPr>
        <w:t>。</w:t>
      </w:r>
      <w:r>
        <w:rPr>
          <w:rFonts w:eastAsia="仿宋_GB2312"/>
          <w:b/>
          <w:bCs/>
          <w:sz w:val="32"/>
          <w:szCs w:val="32"/>
        </w:rPr>
        <w:t>（注：仅罗列本部门涉及的支出）</w:t>
      </w:r>
      <w:bookmarkEnd w:id="63"/>
      <w:bookmarkEnd w:id="64"/>
    </w:p>
    <w:p w14:paraId="643B8EA5">
      <w:pPr>
        <w:ind w:firstLine="800" w:firstLineChars="250"/>
        <w:rPr>
          <w:rFonts w:eastAsia="仿宋_GB2312"/>
          <w:sz w:val="32"/>
          <w:szCs w:val="32"/>
        </w:rPr>
      </w:pPr>
      <w:r>
        <w:rPr>
          <w:rFonts w:eastAsia="仿宋_GB2312"/>
          <w:sz w:val="32"/>
          <w:szCs w:val="32"/>
        </w:rPr>
        <w:t>（图3：支出决算结构图）（饼状图）</w:t>
      </w:r>
    </w:p>
    <w:p w14:paraId="3E80E0D3">
      <w:pPr>
        <w:pStyle w:val="23"/>
        <w:ind w:firstLine="640"/>
        <w:rPr>
          <w:rFonts w:eastAsia="仿宋_GB2312"/>
          <w:sz w:val="32"/>
          <w:szCs w:val="32"/>
        </w:rPr>
      </w:pPr>
      <w:r>
        <w:rPr>
          <w:rFonts w:eastAsia="仿宋_GB2312"/>
          <w:sz w:val="32"/>
          <w:szCs w:val="32"/>
        </w:rPr>
        <w:pict>
          <v:shape id="_x0000_s1031" o:spid="_x0000_s1031" o:spt="75" alt="oleetimg_1708487548607881_1190496256" type="#_x0000_t75" style="position:absolute;left:0pt;margin-left:26pt;margin-top:2.45pt;height:229.2pt;width:352.7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4" o:title=""/>
            <o:lock v:ext="edit" aspectratio="t"/>
            <w10:wrap type="square"/>
          </v:shape>
          <o:OLEObject Type="Embed" ProgID="Office12.Excel.Template" ShapeID="_x0000_s1031" DrawAspect="Content" ObjectID="_1468075727" r:id="rId13">
            <o:LockedField>false</o:LockedField>
          </o:OLEObject>
        </w:pict>
      </w:r>
    </w:p>
    <w:p w14:paraId="7EC55657">
      <w:pPr>
        <w:rPr>
          <w:rFonts w:eastAsia="仿宋_GB2312"/>
          <w:sz w:val="32"/>
          <w:szCs w:val="32"/>
        </w:rPr>
      </w:pPr>
    </w:p>
    <w:p w14:paraId="5E1A1F2E">
      <w:pPr>
        <w:pStyle w:val="23"/>
        <w:ind w:firstLine="640"/>
        <w:rPr>
          <w:rFonts w:eastAsia="仿宋_GB2312"/>
          <w:sz w:val="32"/>
          <w:szCs w:val="32"/>
        </w:rPr>
      </w:pPr>
    </w:p>
    <w:p w14:paraId="55E73CF5">
      <w:pPr>
        <w:rPr>
          <w:rFonts w:eastAsia="仿宋_GB2312"/>
          <w:sz w:val="32"/>
          <w:szCs w:val="32"/>
        </w:rPr>
      </w:pPr>
    </w:p>
    <w:p w14:paraId="77ACAD3E">
      <w:pPr>
        <w:pStyle w:val="23"/>
        <w:ind w:firstLine="640"/>
        <w:rPr>
          <w:rFonts w:eastAsia="仿宋_GB2312"/>
          <w:sz w:val="32"/>
          <w:szCs w:val="32"/>
        </w:rPr>
      </w:pPr>
    </w:p>
    <w:p w14:paraId="46EEEAFE"/>
    <w:p w14:paraId="0A4C509C">
      <w:pPr>
        <w:ind w:firstLine="800" w:firstLineChars="250"/>
        <w:rPr>
          <w:rFonts w:eastAsia="仿宋_GB2312"/>
          <w:sz w:val="32"/>
          <w:szCs w:val="32"/>
        </w:rPr>
      </w:pPr>
    </w:p>
    <w:p w14:paraId="0E684861">
      <w:pPr>
        <w:spacing w:line="600" w:lineRule="exact"/>
        <w:ind w:firstLine="640" w:firstLineChars="200"/>
        <w:rPr>
          <w:rFonts w:eastAsia="黑体"/>
          <w:sz w:val="32"/>
          <w:szCs w:val="32"/>
        </w:rPr>
      </w:pPr>
      <w:bookmarkStart w:id="65" w:name="_Toc15396606"/>
      <w:bookmarkStart w:id="66" w:name="_Toc15377208"/>
    </w:p>
    <w:p w14:paraId="7902464B">
      <w:pPr>
        <w:spacing w:line="600" w:lineRule="exact"/>
        <w:ind w:firstLine="640" w:firstLineChars="200"/>
        <w:outlineLvl w:val="1"/>
        <w:rPr>
          <w:rStyle w:val="34"/>
          <w:rFonts w:ascii="Times New Roman" w:hAnsi="Times New Roman" w:eastAsia="黑体" w:cs="Times New Roman"/>
          <w:b w:val="0"/>
        </w:rPr>
      </w:pPr>
      <w:bookmarkStart w:id="67" w:name="_Toc16833"/>
      <w:bookmarkStart w:id="68" w:name="_Toc8218"/>
      <w:r>
        <w:rPr>
          <w:rFonts w:eastAsia="黑体"/>
          <w:sz w:val="32"/>
          <w:szCs w:val="32"/>
        </w:rPr>
        <w:t>四、财</w:t>
      </w:r>
      <w:r>
        <w:rPr>
          <w:rStyle w:val="34"/>
          <w:rFonts w:ascii="Times New Roman" w:hAnsi="Times New Roman" w:eastAsia="黑体" w:cs="Times New Roman"/>
          <w:b w:val="0"/>
        </w:rPr>
        <w:t>政拨款收入支出决算总体情况说明</w:t>
      </w:r>
      <w:bookmarkEnd w:id="65"/>
      <w:bookmarkEnd w:id="66"/>
      <w:bookmarkEnd w:id="67"/>
      <w:bookmarkEnd w:id="68"/>
    </w:p>
    <w:p w14:paraId="2A0A7484">
      <w:pPr>
        <w:spacing w:line="560" w:lineRule="exact"/>
        <w:ind w:firstLine="641"/>
        <w:rPr>
          <w:rFonts w:eastAsia="仿宋_GB2312"/>
          <w:sz w:val="32"/>
          <w:szCs w:val="32"/>
        </w:rPr>
      </w:pPr>
      <w:r>
        <w:rPr>
          <w:rFonts w:eastAsia="仿宋_GB2312"/>
          <w:sz w:val="32"/>
          <w:szCs w:val="32"/>
        </w:rPr>
        <w:t>2024年度财政拨款收入、支出总计均为2653.43万元。与2023年度相比，财政拨款收入总计、支出总计各减少492.16万元，下降15.65%。主要变动原因是厉行节约，严格执行项目经费、日常公用经费支出的相关规定。</w:t>
      </w:r>
    </w:p>
    <w:p w14:paraId="47972BC2">
      <w:pPr>
        <w:spacing w:line="560" w:lineRule="exact"/>
        <w:ind w:firstLine="640" w:firstLineChars="200"/>
        <w:rPr>
          <w:rFonts w:eastAsia="仿宋_GB2312"/>
          <w:sz w:val="32"/>
          <w:szCs w:val="32"/>
        </w:rPr>
      </w:pPr>
      <w:r>
        <w:rPr>
          <w:rFonts w:eastAsia="仿宋_GB2312"/>
          <w:sz w:val="32"/>
          <w:szCs w:val="32"/>
        </w:rPr>
        <w:t>（图4：财政拨款收、支决算总计变动情况）（柱状图）</w:t>
      </w:r>
    </w:p>
    <w:p w14:paraId="09F21B25">
      <w:pPr>
        <w:pStyle w:val="23"/>
        <w:ind w:firstLine="640"/>
        <w:rPr>
          <w:rFonts w:eastAsia="仿宋_GB2312"/>
          <w:sz w:val="32"/>
          <w:szCs w:val="32"/>
        </w:rPr>
      </w:pPr>
      <w:r>
        <w:rPr>
          <w:rFonts w:eastAsia="仿宋"/>
          <w:sz w:val="32"/>
          <w:szCs w:val="32"/>
        </w:rPr>
        <w:pict>
          <v:shape id="_x0000_s1033" o:spid="_x0000_s1033" o:spt="75" type="#_x0000_t75" style="position:absolute;left:0pt;margin-left:-17.25pt;margin-top:9.5pt;height:186.5pt;width:424.7pt;z-index:251662336;mso-width-relative:page;mso-height-relative:page;" o:ole="t" filled="f" o:preferrelative="t" stroked="f" coordsize="21600,21600">
            <v:path/>
            <v:fill on="f" focussize="0,0"/>
            <v:stroke on="f" joinstyle="miter"/>
            <v:imagedata r:id="rId16" o:title=""/>
            <o:lock v:ext="edit" aspectratio="f"/>
          </v:shape>
          <o:OLEObject Type="Embed" ProgID="Office12.Excel.Template" ShapeID="_x0000_s1033" DrawAspect="Content" ObjectID="_1468075728" r:id="rId15">
            <o:LockedField>false</o:LockedField>
          </o:OLEObject>
        </w:pict>
      </w:r>
    </w:p>
    <w:p w14:paraId="7809023F">
      <w:pPr>
        <w:rPr>
          <w:rFonts w:eastAsia="仿宋_GB2312"/>
          <w:sz w:val="32"/>
          <w:szCs w:val="32"/>
        </w:rPr>
      </w:pPr>
    </w:p>
    <w:p w14:paraId="53797A13">
      <w:pPr>
        <w:pStyle w:val="23"/>
        <w:ind w:firstLine="640"/>
        <w:rPr>
          <w:rFonts w:eastAsia="仿宋_GB2312"/>
          <w:sz w:val="32"/>
          <w:szCs w:val="32"/>
        </w:rPr>
      </w:pPr>
    </w:p>
    <w:p w14:paraId="1E5E933B">
      <w:pPr>
        <w:rPr>
          <w:rFonts w:eastAsia="仿宋_GB2312"/>
          <w:sz w:val="32"/>
          <w:szCs w:val="32"/>
        </w:rPr>
      </w:pPr>
    </w:p>
    <w:p w14:paraId="7EC59CD2">
      <w:pPr>
        <w:pStyle w:val="23"/>
        <w:ind w:firstLine="640"/>
        <w:rPr>
          <w:rFonts w:eastAsia="仿宋_GB2312"/>
          <w:sz w:val="32"/>
          <w:szCs w:val="32"/>
        </w:rPr>
      </w:pPr>
    </w:p>
    <w:p w14:paraId="321D3F4E">
      <w:pPr>
        <w:spacing w:line="600" w:lineRule="exact"/>
        <w:rPr>
          <w:rFonts w:eastAsia="仿宋_GB2312"/>
          <w:sz w:val="32"/>
          <w:szCs w:val="32"/>
        </w:rPr>
      </w:pPr>
    </w:p>
    <w:p w14:paraId="3FE44804">
      <w:pPr>
        <w:spacing w:line="560" w:lineRule="exact"/>
        <w:ind w:firstLine="640" w:firstLineChars="200"/>
        <w:outlineLvl w:val="1"/>
        <w:rPr>
          <w:rStyle w:val="34"/>
          <w:rFonts w:ascii="Times New Roman" w:hAnsi="Times New Roman" w:eastAsia="黑体" w:cs="Times New Roman"/>
          <w:b w:val="0"/>
        </w:rPr>
      </w:pPr>
      <w:bookmarkStart w:id="69" w:name="_Toc15396607"/>
      <w:bookmarkStart w:id="70" w:name="_Toc16246"/>
      <w:bookmarkStart w:id="71" w:name="_Toc15377209"/>
      <w:bookmarkStart w:id="72" w:name="_Toc19968"/>
      <w:r>
        <w:rPr>
          <w:rFonts w:eastAsia="黑体"/>
          <w:sz w:val="32"/>
          <w:szCs w:val="32"/>
        </w:rPr>
        <w:t>五、</w:t>
      </w:r>
      <w:r>
        <w:rPr>
          <w:rFonts w:eastAsia="黑体"/>
          <w:b/>
          <w:sz w:val="32"/>
          <w:szCs w:val="32"/>
        </w:rPr>
        <w:t>一</w:t>
      </w:r>
      <w:r>
        <w:rPr>
          <w:rStyle w:val="34"/>
          <w:rFonts w:ascii="Times New Roman" w:hAnsi="Times New Roman" w:eastAsia="黑体" w:cs="Times New Roman"/>
          <w:b w:val="0"/>
        </w:rPr>
        <w:t>般公共预算财政拨款支出决算情况说明</w:t>
      </w:r>
      <w:bookmarkEnd w:id="69"/>
      <w:bookmarkEnd w:id="70"/>
      <w:bookmarkEnd w:id="71"/>
      <w:bookmarkEnd w:id="72"/>
    </w:p>
    <w:p w14:paraId="3420C8F4">
      <w:pPr>
        <w:spacing w:line="560" w:lineRule="exact"/>
        <w:ind w:firstLine="643" w:firstLineChars="200"/>
        <w:outlineLvl w:val="2"/>
        <w:rPr>
          <w:rFonts w:eastAsia="楷体_GB2312"/>
          <w:b/>
          <w:sz w:val="32"/>
          <w:szCs w:val="32"/>
        </w:rPr>
      </w:pPr>
      <w:bookmarkStart w:id="73" w:name="_Toc15377210"/>
      <w:r>
        <w:rPr>
          <w:rFonts w:eastAsia="楷体_GB2312"/>
          <w:b/>
          <w:sz w:val="32"/>
          <w:szCs w:val="32"/>
        </w:rPr>
        <w:t>（一）一般公共预算财政拨款支出决算总体情况</w:t>
      </w:r>
      <w:bookmarkEnd w:id="73"/>
    </w:p>
    <w:p w14:paraId="4642B6D9">
      <w:pPr>
        <w:spacing w:line="560" w:lineRule="exact"/>
        <w:ind w:firstLine="640"/>
        <w:rPr>
          <w:rFonts w:eastAsia="仿宋_GB2312"/>
          <w:sz w:val="32"/>
          <w:szCs w:val="32"/>
        </w:rPr>
      </w:pPr>
      <w:r>
        <w:rPr>
          <w:rFonts w:eastAsia="仿宋_GB2312"/>
          <w:sz w:val="32"/>
          <w:szCs w:val="32"/>
        </w:rPr>
        <w:t>2024</w:t>
      </w:r>
      <w:r>
        <w:rPr>
          <w:rFonts w:hAnsi="仿宋_GB2312" w:eastAsia="仿宋_GB2312"/>
          <w:sz w:val="32"/>
          <w:szCs w:val="32"/>
        </w:rPr>
        <w:t>年度一般公共预算财政拨款支出</w:t>
      </w:r>
      <w:r>
        <w:rPr>
          <w:rFonts w:eastAsia="仿宋_GB2312"/>
          <w:sz w:val="32"/>
          <w:szCs w:val="32"/>
        </w:rPr>
        <w:t>2653.43</w:t>
      </w:r>
      <w:r>
        <w:rPr>
          <w:rFonts w:hAnsi="仿宋_GB2312" w:eastAsia="仿宋_GB2312"/>
          <w:sz w:val="32"/>
          <w:szCs w:val="32"/>
        </w:rPr>
        <w:t>万元，占本年支出合计的</w:t>
      </w:r>
      <w:r>
        <w:rPr>
          <w:rFonts w:eastAsia="仿宋_GB2312"/>
          <w:sz w:val="32"/>
          <w:szCs w:val="32"/>
        </w:rPr>
        <w:t>96.46%</w:t>
      </w:r>
      <w:r>
        <w:rPr>
          <w:rFonts w:hAnsi="仿宋_GB2312" w:eastAsia="仿宋_GB2312"/>
          <w:sz w:val="32"/>
          <w:szCs w:val="32"/>
        </w:rPr>
        <w:t>。与</w:t>
      </w:r>
      <w:r>
        <w:rPr>
          <w:rFonts w:eastAsia="仿宋_GB2312"/>
          <w:sz w:val="32"/>
          <w:szCs w:val="32"/>
        </w:rPr>
        <w:t>2023</w:t>
      </w:r>
      <w:r>
        <w:rPr>
          <w:rFonts w:hAnsi="仿宋_GB2312" w:eastAsia="仿宋_GB2312"/>
          <w:sz w:val="32"/>
          <w:szCs w:val="32"/>
        </w:rPr>
        <w:t>年度相比，一般公共预算财政拨款支出减少</w:t>
      </w:r>
      <w:r>
        <w:rPr>
          <w:rFonts w:eastAsia="仿宋_GB2312"/>
          <w:sz w:val="32"/>
          <w:szCs w:val="32"/>
        </w:rPr>
        <w:t>492.16</w:t>
      </w:r>
      <w:r>
        <w:rPr>
          <w:rFonts w:hAnsi="仿宋_GB2312" w:eastAsia="仿宋_GB2312"/>
          <w:sz w:val="32"/>
          <w:szCs w:val="32"/>
        </w:rPr>
        <w:t>万元，下降</w:t>
      </w:r>
      <w:r>
        <w:rPr>
          <w:rFonts w:eastAsia="仿宋_GB2312"/>
          <w:sz w:val="32"/>
          <w:szCs w:val="32"/>
        </w:rPr>
        <w:t>15.65%</w:t>
      </w:r>
      <w:r>
        <w:rPr>
          <w:rFonts w:hAnsi="仿宋_GB2312" w:eastAsia="仿宋_GB2312"/>
          <w:sz w:val="32"/>
          <w:szCs w:val="32"/>
        </w:rPr>
        <w:t>。主要变动原因是</w:t>
      </w:r>
      <w:r>
        <w:rPr>
          <w:rFonts w:eastAsia="仿宋_GB2312"/>
          <w:sz w:val="32"/>
          <w:szCs w:val="32"/>
        </w:rPr>
        <w:t>厉行节约，严格执行项目经费、日常公用经费支出的相关规定。</w:t>
      </w:r>
    </w:p>
    <w:p w14:paraId="4C71F5E3">
      <w:pPr>
        <w:spacing w:line="560" w:lineRule="exact"/>
        <w:ind w:firstLine="640"/>
        <w:rPr>
          <w:rFonts w:eastAsia="仿宋_GB2312"/>
          <w:sz w:val="32"/>
          <w:szCs w:val="32"/>
        </w:rPr>
      </w:pPr>
      <w:r>
        <w:rPr>
          <w:rFonts w:eastAsia="仿宋_GB2312"/>
          <w:sz w:val="32"/>
          <w:szCs w:val="32"/>
        </w:rPr>
        <w:t>（图5：一般公共预算财政拨款支出决算变动情况）（柱状图）</w:t>
      </w:r>
    </w:p>
    <w:p w14:paraId="32B1481F">
      <w:pPr>
        <w:pStyle w:val="23"/>
        <w:ind w:firstLine="640"/>
        <w:rPr>
          <w:rFonts w:eastAsia="仿宋_GB2312"/>
          <w:sz w:val="32"/>
          <w:szCs w:val="32"/>
        </w:rPr>
      </w:pPr>
      <w:r>
        <w:rPr>
          <w:rFonts w:eastAsia="仿宋"/>
          <w:sz w:val="32"/>
          <w:szCs w:val="32"/>
        </w:rPr>
        <w:pict>
          <v:shape id="_x0000_s1034" o:spid="_x0000_s1034" o:spt="75" type="#_x0000_t75" style="position:absolute;left:0pt;margin-left:16.5pt;margin-top:1.25pt;height:186.5pt;width:424.7pt;z-index:251663360;mso-width-relative:page;mso-height-relative:page;" o:ole="t" filled="f" o:preferrelative="t" stroked="f" coordsize="21600,21600">
            <v:path/>
            <v:fill on="f" focussize="0,0"/>
            <v:stroke on="f" joinstyle="miter"/>
            <v:imagedata r:id="rId16" o:title=""/>
            <o:lock v:ext="edit" aspectratio="f"/>
          </v:shape>
          <o:OLEObject Type="Embed" ProgID="Office12.Excel.Template" ShapeID="_x0000_s1034" DrawAspect="Content" ObjectID="_1468075729" r:id="rId17">
            <o:LockedField>false</o:LockedField>
          </o:OLEObject>
        </w:pict>
      </w:r>
    </w:p>
    <w:p w14:paraId="7DEF5450">
      <w:pPr>
        <w:rPr>
          <w:rFonts w:eastAsia="仿宋_GB2312"/>
          <w:sz w:val="32"/>
          <w:szCs w:val="32"/>
        </w:rPr>
      </w:pPr>
    </w:p>
    <w:p w14:paraId="6CBB2968">
      <w:pPr>
        <w:pStyle w:val="23"/>
        <w:ind w:firstLine="640"/>
        <w:rPr>
          <w:rFonts w:eastAsia="仿宋_GB2312"/>
          <w:sz w:val="32"/>
          <w:szCs w:val="32"/>
        </w:rPr>
      </w:pPr>
    </w:p>
    <w:p w14:paraId="19A2F289">
      <w:pPr>
        <w:rPr>
          <w:rFonts w:eastAsia="仿宋_GB2312"/>
          <w:sz w:val="32"/>
          <w:szCs w:val="32"/>
        </w:rPr>
      </w:pPr>
    </w:p>
    <w:p w14:paraId="35BFA615">
      <w:pPr>
        <w:pStyle w:val="23"/>
        <w:ind w:firstLine="640"/>
        <w:rPr>
          <w:rFonts w:eastAsia="仿宋_GB2312"/>
          <w:sz w:val="32"/>
          <w:szCs w:val="32"/>
        </w:rPr>
      </w:pPr>
    </w:p>
    <w:p w14:paraId="002EB194"/>
    <w:p w14:paraId="57CAC5D6">
      <w:pPr>
        <w:spacing w:line="600" w:lineRule="exact"/>
        <w:ind w:firstLine="643" w:firstLineChars="200"/>
        <w:outlineLvl w:val="2"/>
        <w:rPr>
          <w:rFonts w:eastAsia="楷体_GB2312"/>
          <w:b/>
          <w:sz w:val="32"/>
          <w:szCs w:val="32"/>
        </w:rPr>
      </w:pPr>
      <w:bookmarkStart w:id="74" w:name="_Toc15377211"/>
      <w:r>
        <w:rPr>
          <w:rFonts w:eastAsia="楷体_GB2312"/>
          <w:b/>
          <w:sz w:val="32"/>
          <w:szCs w:val="32"/>
        </w:rPr>
        <w:t>（二）一般公共预算财政拨款支出决算结构情况</w:t>
      </w:r>
      <w:bookmarkEnd w:id="74"/>
    </w:p>
    <w:p w14:paraId="12BCBDBA">
      <w:pPr>
        <w:spacing w:line="600" w:lineRule="exact"/>
        <w:ind w:firstLine="640"/>
        <w:rPr>
          <w:rFonts w:eastAsia="仿宋_GB2312"/>
          <w:b/>
          <w:bCs/>
          <w:sz w:val="32"/>
          <w:szCs w:val="32"/>
        </w:rPr>
      </w:pPr>
      <w:r>
        <w:rPr>
          <w:rFonts w:eastAsia="仿宋_GB2312"/>
          <w:sz w:val="32"/>
          <w:szCs w:val="32"/>
        </w:rPr>
        <w:t>2024年度一般公共预算财政拨款支出2653.43</w:t>
      </w:r>
      <w:r>
        <w:rPr>
          <w:rFonts w:hAnsi="仿宋_GB2312" w:eastAsia="仿宋_GB2312"/>
          <w:sz w:val="32"/>
          <w:szCs w:val="32"/>
        </w:rPr>
        <w:t>万元</w:t>
      </w:r>
      <w:r>
        <w:rPr>
          <w:rFonts w:eastAsia="仿宋_GB2312"/>
          <w:sz w:val="32"/>
          <w:szCs w:val="32"/>
        </w:rPr>
        <w:t>，主要用于以下方面：一般公共服务支出1769.40万元，占66.69%；社会保障和就业支出278.18万元，占10.48%；卫生健康支出58.97万元，占2.22%；住房保障支出117.81万元，占4.44%；资源勘探工业信息等支出429.07万元，占16.17%。</w:t>
      </w:r>
      <w:r>
        <w:rPr>
          <w:rFonts w:eastAsia="仿宋_GB2312"/>
          <w:b/>
          <w:bCs/>
          <w:sz w:val="32"/>
          <w:szCs w:val="32"/>
        </w:rPr>
        <w:t>（注：仅罗列本部门涉及的全部功能分类科目，至类级）</w:t>
      </w:r>
    </w:p>
    <w:p w14:paraId="0FC86D47">
      <w:pPr>
        <w:spacing w:line="600" w:lineRule="exact"/>
        <w:ind w:firstLine="640"/>
        <w:rPr>
          <w:rFonts w:eastAsia="仿宋_GB2312"/>
          <w:sz w:val="32"/>
          <w:szCs w:val="32"/>
        </w:rPr>
      </w:pPr>
      <w:r>
        <w:rPr>
          <w:rFonts w:eastAsia="仿宋_GB2312"/>
          <w:sz w:val="32"/>
          <w:szCs w:val="32"/>
        </w:rPr>
        <w:t>（图6：一般公共预算财政拨款支出决算结构）（饼状图）</w:t>
      </w:r>
    </w:p>
    <w:p w14:paraId="6431240D">
      <w:pPr>
        <w:pStyle w:val="23"/>
        <w:ind w:firstLine="640"/>
        <w:rPr>
          <w:rFonts w:eastAsia="仿宋_GB2312"/>
          <w:sz w:val="32"/>
          <w:szCs w:val="32"/>
        </w:rPr>
      </w:pPr>
      <w:r>
        <w:rPr>
          <w:rFonts w:eastAsia="仿宋_GB2312"/>
          <w:sz w:val="32"/>
          <w:szCs w:val="32"/>
        </w:rPr>
        <w:pict>
          <v:shape id="_x0000_s1037" o:spid="_x0000_s1037" o:spt="75" alt="oleetimg_1708487548607881_1190496256" type="#_x0000_t75" style="position:absolute;left:0pt;margin-left:26pt;margin-top:17pt;height:229.8pt;width:353.2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19" o:title=""/>
            <o:lock v:ext="edit" aspectratio="t"/>
            <w10:wrap type="square"/>
          </v:shape>
          <o:OLEObject Type="Embed" ProgID="Office12.Excel.Template" ShapeID="_x0000_s1037" DrawAspect="Content" ObjectID="_1468075730" r:id="rId18">
            <o:LockedField>false</o:LockedField>
          </o:OLEObject>
        </w:pict>
      </w:r>
    </w:p>
    <w:p w14:paraId="7958729F">
      <w:pPr>
        <w:rPr>
          <w:rFonts w:eastAsia="仿宋_GB2312"/>
          <w:sz w:val="32"/>
          <w:szCs w:val="32"/>
        </w:rPr>
      </w:pPr>
    </w:p>
    <w:p w14:paraId="15C612E3">
      <w:pPr>
        <w:pStyle w:val="23"/>
        <w:ind w:firstLine="420"/>
      </w:pPr>
    </w:p>
    <w:p w14:paraId="5EE99040">
      <w:pPr>
        <w:rPr>
          <w:rFonts w:eastAsia="仿宋_GB2312"/>
          <w:sz w:val="32"/>
          <w:szCs w:val="32"/>
        </w:rPr>
      </w:pPr>
    </w:p>
    <w:p w14:paraId="25206F7C">
      <w:pPr>
        <w:pStyle w:val="23"/>
        <w:ind w:firstLine="640"/>
        <w:rPr>
          <w:rFonts w:eastAsia="仿宋_GB2312"/>
          <w:sz w:val="32"/>
          <w:szCs w:val="32"/>
        </w:rPr>
      </w:pPr>
    </w:p>
    <w:p w14:paraId="7A969D17"/>
    <w:p w14:paraId="499ABFF4">
      <w:pPr>
        <w:spacing w:line="600" w:lineRule="exact"/>
        <w:ind w:firstLine="640"/>
        <w:rPr>
          <w:rFonts w:eastAsia="仿宋_GB2312"/>
          <w:sz w:val="32"/>
          <w:szCs w:val="32"/>
        </w:rPr>
      </w:pPr>
    </w:p>
    <w:p w14:paraId="4115D78C">
      <w:pPr>
        <w:spacing w:line="600" w:lineRule="exact"/>
        <w:rPr>
          <w:rFonts w:eastAsia="楷体_GB2312"/>
          <w:b/>
          <w:sz w:val="32"/>
          <w:szCs w:val="32"/>
        </w:rPr>
      </w:pPr>
      <w:bookmarkStart w:id="75" w:name="_Toc15377212"/>
    </w:p>
    <w:p w14:paraId="4AFC2851">
      <w:pPr>
        <w:spacing w:line="600" w:lineRule="exact"/>
        <w:rPr>
          <w:rFonts w:eastAsia="楷体_GB2312"/>
          <w:b/>
          <w:sz w:val="32"/>
          <w:szCs w:val="32"/>
        </w:rPr>
      </w:pPr>
    </w:p>
    <w:p w14:paraId="0216374D">
      <w:pPr>
        <w:spacing w:line="600" w:lineRule="exact"/>
        <w:rPr>
          <w:rFonts w:eastAsia="楷体_GB2312"/>
          <w:b/>
          <w:sz w:val="32"/>
          <w:szCs w:val="32"/>
        </w:rPr>
      </w:pPr>
    </w:p>
    <w:p w14:paraId="42845A84">
      <w:pPr>
        <w:spacing w:line="600" w:lineRule="exact"/>
        <w:outlineLvl w:val="2"/>
        <w:rPr>
          <w:rFonts w:eastAsia="楷体_GB2312"/>
          <w:b/>
          <w:sz w:val="32"/>
          <w:szCs w:val="32"/>
        </w:rPr>
      </w:pPr>
      <w:r>
        <w:rPr>
          <w:rFonts w:eastAsia="楷体_GB2312"/>
          <w:b/>
          <w:sz w:val="32"/>
          <w:szCs w:val="32"/>
        </w:rPr>
        <w:t>（三）一般公共预算财政拨款支出决算具体情况</w:t>
      </w:r>
      <w:bookmarkEnd w:id="75"/>
    </w:p>
    <w:p w14:paraId="37985F5B">
      <w:pPr>
        <w:spacing w:line="600" w:lineRule="exact"/>
        <w:ind w:firstLine="640"/>
        <w:rPr>
          <w:rFonts w:eastAsia="仿宋_GB2312"/>
          <w:sz w:val="32"/>
          <w:szCs w:val="32"/>
        </w:rPr>
      </w:pPr>
      <w:bookmarkStart w:id="76" w:name="_Toc15377213"/>
      <w:bookmarkStart w:id="77" w:name="_Toc15378460"/>
      <w:bookmarkStart w:id="78" w:name="_Toc15377444"/>
      <w:r>
        <w:rPr>
          <w:rFonts w:eastAsia="仿宋_GB2312"/>
          <w:sz w:val="32"/>
          <w:szCs w:val="32"/>
        </w:rPr>
        <w:t>2024年度一般公共预算财政拨款支出决算数为2653.43</w:t>
      </w:r>
      <w:r>
        <w:rPr>
          <w:rFonts w:hAnsi="仿宋_GB2312" w:eastAsia="仿宋_GB2312"/>
          <w:sz w:val="32"/>
          <w:szCs w:val="32"/>
        </w:rPr>
        <w:t>，</w:t>
      </w:r>
      <w:r>
        <w:rPr>
          <w:rFonts w:eastAsia="仿宋_GB2312"/>
          <w:sz w:val="32"/>
          <w:szCs w:val="32"/>
        </w:rPr>
        <w:t>完成预算90.25%。其中：</w:t>
      </w:r>
      <w:bookmarkEnd w:id="76"/>
      <w:bookmarkEnd w:id="77"/>
      <w:bookmarkEnd w:id="78"/>
    </w:p>
    <w:p w14:paraId="32234216">
      <w:pPr>
        <w:numPr>
          <w:ilvl w:val="0"/>
          <w:numId w:val="2"/>
        </w:numPr>
        <w:spacing w:line="600" w:lineRule="exact"/>
        <w:ind w:firstLine="640"/>
      </w:pPr>
      <w:r>
        <w:rPr>
          <w:rFonts w:eastAsia="仿宋_GB2312"/>
          <w:sz w:val="32"/>
          <w:szCs w:val="32"/>
        </w:rPr>
        <w:t>一般公共服务（类）政府办公厅（室）及相关机构事务（款）行政运行（项）：支出决算为1389.96万元，完成预算96.84%。</w:t>
      </w:r>
    </w:p>
    <w:p w14:paraId="7851548A">
      <w:pPr>
        <w:numPr>
          <w:ilvl w:val="0"/>
          <w:numId w:val="2"/>
        </w:numPr>
        <w:spacing w:line="600" w:lineRule="exact"/>
        <w:ind w:firstLine="640"/>
      </w:pPr>
      <w:r>
        <w:rPr>
          <w:rFonts w:eastAsia="仿宋_GB2312"/>
          <w:sz w:val="32"/>
          <w:szCs w:val="32"/>
        </w:rPr>
        <w:t>一般公共服务（类）政府办公厅（室）及相关机构事务（款）一般行政管理事务（项）：支出决算为84.88万元，完成预算99.37%。</w:t>
      </w:r>
    </w:p>
    <w:p w14:paraId="54331B0C">
      <w:pPr>
        <w:numPr>
          <w:ilvl w:val="0"/>
          <w:numId w:val="2"/>
        </w:numPr>
        <w:spacing w:line="600" w:lineRule="exact"/>
        <w:ind w:firstLine="640"/>
      </w:pPr>
      <w:r>
        <w:rPr>
          <w:rFonts w:eastAsia="仿宋_GB2312"/>
          <w:sz w:val="32"/>
          <w:szCs w:val="32"/>
        </w:rPr>
        <w:t>一般公共服务（类）政府办公厅（室）及相关机构事务（款）事业运行（项）：支出决算为256.6万元，完成预算96.53%。</w:t>
      </w:r>
    </w:p>
    <w:p w14:paraId="3C962B00">
      <w:pPr>
        <w:numPr>
          <w:ilvl w:val="0"/>
          <w:numId w:val="2"/>
        </w:numPr>
        <w:spacing w:line="600" w:lineRule="exact"/>
        <w:ind w:firstLine="640"/>
      </w:pPr>
      <w:r>
        <w:rPr>
          <w:rFonts w:eastAsia="仿宋_GB2312"/>
          <w:sz w:val="32"/>
          <w:szCs w:val="32"/>
        </w:rPr>
        <w:t>一般公共服务（类）发展与改革事务（款）一般行政管理事务（项）：支出决算为10.05万元，完成预算100%。</w:t>
      </w:r>
    </w:p>
    <w:p w14:paraId="2EF30969">
      <w:pPr>
        <w:numPr>
          <w:ilvl w:val="0"/>
          <w:numId w:val="2"/>
        </w:numPr>
        <w:spacing w:line="600" w:lineRule="exact"/>
        <w:ind w:firstLine="640"/>
      </w:pPr>
      <w:r>
        <w:rPr>
          <w:rFonts w:eastAsia="仿宋_GB2312"/>
          <w:sz w:val="32"/>
          <w:szCs w:val="32"/>
        </w:rPr>
        <w:t>一般公共服务（类）财政事务（款）一般行政管理事务（项）：支出决算为16.95万元，完成预算100%。</w:t>
      </w:r>
    </w:p>
    <w:p w14:paraId="625955C5">
      <w:pPr>
        <w:numPr>
          <w:ilvl w:val="0"/>
          <w:numId w:val="2"/>
        </w:numPr>
        <w:spacing w:line="600" w:lineRule="exact"/>
        <w:ind w:firstLine="640"/>
      </w:pPr>
      <w:r>
        <w:rPr>
          <w:rFonts w:eastAsia="仿宋_GB2312"/>
          <w:sz w:val="32"/>
          <w:szCs w:val="32"/>
        </w:rPr>
        <w:t>一般公共服务（类）商贸事务（款）招商引资（项）：支出决算为16.95万元，完成预算99.55%。</w:t>
      </w:r>
    </w:p>
    <w:p w14:paraId="6B8CAF7E">
      <w:pPr>
        <w:spacing w:line="600" w:lineRule="exact"/>
        <w:ind w:firstLine="640"/>
        <w:rPr>
          <w:rFonts w:eastAsia="仿宋_GB2312"/>
          <w:sz w:val="32"/>
          <w:szCs w:val="32"/>
        </w:rPr>
      </w:pPr>
      <w:r>
        <w:rPr>
          <w:rFonts w:eastAsia="仿宋_GB2312"/>
          <w:sz w:val="32"/>
          <w:szCs w:val="32"/>
        </w:rPr>
        <w:t>7.社会保障和就业（类）行政事业单位养老支出（款）行政单位离退休（项）：支出决算为62.85万元，完成预算91.88%。</w:t>
      </w:r>
    </w:p>
    <w:p w14:paraId="7AB3A63F">
      <w:pPr>
        <w:spacing w:line="600" w:lineRule="exact"/>
        <w:ind w:firstLine="640"/>
        <w:rPr>
          <w:rFonts w:eastAsia="仿宋_GB2312"/>
          <w:sz w:val="32"/>
          <w:szCs w:val="32"/>
        </w:rPr>
      </w:pPr>
      <w:r>
        <w:rPr>
          <w:rFonts w:eastAsia="仿宋_GB2312"/>
          <w:sz w:val="32"/>
          <w:szCs w:val="32"/>
        </w:rPr>
        <w:t>8.社会保障和就业（类）行政事业单位养老支出（款）事业单位离退休（项）：支出决算为2.54万元，完成预算81.62%。</w:t>
      </w:r>
    </w:p>
    <w:p w14:paraId="4059A2A3">
      <w:pPr>
        <w:spacing w:line="600" w:lineRule="exact"/>
        <w:ind w:firstLine="640"/>
        <w:rPr>
          <w:rFonts w:eastAsia="仿宋_GB2312"/>
          <w:sz w:val="32"/>
          <w:szCs w:val="32"/>
        </w:rPr>
      </w:pPr>
      <w:r>
        <w:rPr>
          <w:rFonts w:eastAsia="仿宋_GB2312"/>
          <w:sz w:val="32"/>
          <w:szCs w:val="32"/>
        </w:rPr>
        <w:t>9.社会保障和就业（类）行政事业单位养老支出（款）机关事业单位基本养老保险缴费支出（项）：支出决算为136.66万元，完成预算96.77%。</w:t>
      </w:r>
    </w:p>
    <w:p w14:paraId="40C99695">
      <w:pPr>
        <w:spacing w:line="600" w:lineRule="exact"/>
        <w:ind w:firstLine="640"/>
        <w:rPr>
          <w:rFonts w:eastAsia="仿宋_GB2312"/>
          <w:sz w:val="32"/>
          <w:szCs w:val="32"/>
        </w:rPr>
      </w:pPr>
      <w:r>
        <w:rPr>
          <w:rFonts w:eastAsia="仿宋_GB2312"/>
          <w:sz w:val="32"/>
          <w:szCs w:val="32"/>
        </w:rPr>
        <w:t>10.社会保障和就业（类）抚恤（款）死亡抚恤（项）：支出决算为76.13万元，完成预算100%。</w:t>
      </w:r>
    </w:p>
    <w:p w14:paraId="53CCDD8F">
      <w:pPr>
        <w:spacing w:line="600" w:lineRule="exact"/>
        <w:ind w:firstLine="640" w:firstLineChars="200"/>
        <w:rPr>
          <w:rFonts w:eastAsia="仿宋_GB2312"/>
          <w:sz w:val="32"/>
          <w:szCs w:val="32"/>
        </w:rPr>
      </w:pPr>
      <w:r>
        <w:rPr>
          <w:rFonts w:eastAsia="仿宋_GB2312"/>
          <w:sz w:val="32"/>
          <w:szCs w:val="32"/>
        </w:rPr>
        <w:t>11.卫生健康（类）行政事业单位医疗（款）行政单位医疗（项）：支出决算为45.92万元，完成预97.43%。</w:t>
      </w:r>
    </w:p>
    <w:p w14:paraId="38C99DC8">
      <w:pPr>
        <w:spacing w:line="600" w:lineRule="exact"/>
        <w:ind w:firstLine="640" w:firstLineChars="200"/>
        <w:rPr>
          <w:rFonts w:eastAsia="仿宋_GB2312"/>
          <w:sz w:val="32"/>
          <w:szCs w:val="32"/>
        </w:rPr>
      </w:pPr>
      <w:r>
        <w:rPr>
          <w:rFonts w:eastAsia="仿宋_GB2312"/>
          <w:sz w:val="32"/>
          <w:szCs w:val="32"/>
        </w:rPr>
        <w:t>12.卫生健康（类）行政事业单位医疗（款）事业单位医疗（项）：支出决算为13.04万元，完成预96.89%。</w:t>
      </w:r>
    </w:p>
    <w:p w14:paraId="3DA1151B">
      <w:pPr>
        <w:spacing w:line="600" w:lineRule="exact"/>
        <w:ind w:firstLine="640"/>
        <w:rPr>
          <w:rFonts w:eastAsia="仿宋_GB2312"/>
          <w:sz w:val="32"/>
          <w:szCs w:val="32"/>
        </w:rPr>
      </w:pPr>
      <w:r>
        <w:rPr>
          <w:rFonts w:eastAsia="仿宋_GB2312"/>
          <w:sz w:val="32"/>
          <w:szCs w:val="32"/>
        </w:rPr>
        <w:t>13.资源勘探工业信息等支出（类）制造业（款）其他制造业支出（项）：支出决算为429.07万元，完成预67%。</w:t>
      </w:r>
    </w:p>
    <w:p w14:paraId="33D53CDA">
      <w:pPr>
        <w:spacing w:line="600" w:lineRule="exact"/>
        <w:ind w:firstLine="640"/>
        <w:rPr>
          <w:rFonts w:eastAsia="仿宋_GB2312"/>
          <w:sz w:val="32"/>
          <w:szCs w:val="32"/>
        </w:rPr>
      </w:pPr>
      <w:r>
        <w:rPr>
          <w:rFonts w:eastAsia="仿宋_GB2312"/>
          <w:sz w:val="32"/>
          <w:szCs w:val="32"/>
        </w:rPr>
        <w:t>14.资源勘探工业信息等支出（类）工业和信息产业监管（款）一般行政管理事务（项）：支出决算为0.15万元，完成预100%。</w:t>
      </w:r>
    </w:p>
    <w:p w14:paraId="3DDF8202">
      <w:pPr>
        <w:spacing w:line="600" w:lineRule="exact"/>
        <w:ind w:firstLine="640"/>
        <w:rPr>
          <w:rFonts w:eastAsia="仿宋_GB2312"/>
          <w:sz w:val="32"/>
          <w:szCs w:val="32"/>
        </w:rPr>
      </w:pPr>
      <w:r>
        <w:rPr>
          <w:rFonts w:eastAsia="仿宋_GB2312"/>
          <w:sz w:val="32"/>
          <w:szCs w:val="32"/>
        </w:rPr>
        <w:t>15.资源勘探工业信息等支出（类）工业和信息产业监管（款）无线电及信息通信监管（项）：支出决算为104.53万元，完成预99.92%。</w:t>
      </w:r>
    </w:p>
    <w:p w14:paraId="3A266423">
      <w:pPr>
        <w:spacing w:line="600" w:lineRule="exact"/>
        <w:ind w:firstLine="640"/>
        <w:rPr>
          <w:rFonts w:eastAsia="仿宋_GB2312"/>
          <w:sz w:val="32"/>
          <w:szCs w:val="32"/>
        </w:rPr>
      </w:pPr>
      <w:r>
        <w:rPr>
          <w:rFonts w:eastAsia="仿宋_GB2312"/>
          <w:sz w:val="32"/>
          <w:szCs w:val="32"/>
        </w:rPr>
        <w:t>16.资源勘探工业信息等支出（类）工业和信息产业监管（款）产业发展（项）：支出决算为14.79万元，完成预27.39%。</w:t>
      </w:r>
    </w:p>
    <w:p w14:paraId="4FD89203">
      <w:pPr>
        <w:spacing w:line="600" w:lineRule="exact"/>
        <w:ind w:firstLine="640"/>
        <w:rPr>
          <w:rFonts w:eastAsia="仿宋_GB2312"/>
          <w:sz w:val="32"/>
          <w:szCs w:val="32"/>
        </w:rPr>
      </w:pPr>
      <w:r>
        <w:rPr>
          <w:rFonts w:eastAsia="仿宋_GB2312"/>
          <w:sz w:val="32"/>
          <w:szCs w:val="32"/>
        </w:rPr>
        <w:t>17.资源勘探工业信息等支出（类）支持中小企业发展和管理支出（款）一般行政管理事务（项）：支出决算为1.8万元，完成预100%。</w:t>
      </w:r>
    </w:p>
    <w:p w14:paraId="72DDD206">
      <w:pPr>
        <w:spacing w:line="600" w:lineRule="exact"/>
        <w:ind w:firstLine="640"/>
        <w:rPr>
          <w:rFonts w:eastAsia="仿宋_GB2312"/>
          <w:sz w:val="32"/>
          <w:szCs w:val="32"/>
        </w:rPr>
      </w:pPr>
      <w:r>
        <w:rPr>
          <w:rFonts w:eastAsia="仿宋_GB2312"/>
          <w:sz w:val="32"/>
          <w:szCs w:val="32"/>
        </w:rPr>
        <w:t>18.资源勘探工业信息等支出（类）支持中小企业发展和管理支出（款）一般行政管理事务（项）：支出决算为1.8万元，完成预100%。</w:t>
      </w:r>
    </w:p>
    <w:p w14:paraId="1A8B01CA">
      <w:pPr>
        <w:spacing w:line="600" w:lineRule="exact"/>
        <w:ind w:firstLine="640"/>
        <w:rPr>
          <w:rFonts w:eastAsia="仿宋_GB2312"/>
          <w:sz w:val="32"/>
          <w:szCs w:val="32"/>
        </w:rPr>
      </w:pPr>
      <w:r>
        <w:rPr>
          <w:rFonts w:eastAsia="仿宋_GB2312"/>
          <w:sz w:val="32"/>
          <w:szCs w:val="32"/>
        </w:rPr>
        <w:t>19.住房保障支出（类）住房改革支出（款）住房公积金（项）：支出决算为117.81万元，完成预93.93%。</w:t>
      </w:r>
    </w:p>
    <w:p w14:paraId="105DB352">
      <w:pPr>
        <w:tabs>
          <w:tab w:val="right" w:pos="8306"/>
        </w:tabs>
        <w:spacing w:line="600" w:lineRule="exact"/>
        <w:ind w:firstLine="640"/>
        <w:outlineLvl w:val="1"/>
        <w:rPr>
          <w:rStyle w:val="34"/>
          <w:rFonts w:ascii="Times New Roman" w:hAnsi="Times New Roman" w:cs="Times New Roman"/>
        </w:rPr>
      </w:pPr>
      <w:bookmarkStart w:id="79" w:name="_Toc15377214"/>
      <w:bookmarkStart w:id="80" w:name="_Toc15396608"/>
      <w:bookmarkStart w:id="81" w:name="_Toc8782"/>
      <w:bookmarkStart w:id="82" w:name="_Toc330"/>
      <w:r>
        <w:rPr>
          <w:rFonts w:eastAsia="黑体"/>
          <w:sz w:val="32"/>
          <w:szCs w:val="32"/>
        </w:rPr>
        <w:t>六</w:t>
      </w:r>
      <w:r>
        <w:rPr>
          <w:rFonts w:eastAsia="黑体"/>
          <w:b/>
          <w:sz w:val="32"/>
          <w:szCs w:val="32"/>
        </w:rPr>
        <w:t>、一</w:t>
      </w:r>
      <w:r>
        <w:rPr>
          <w:rStyle w:val="34"/>
          <w:rFonts w:ascii="Times New Roman" w:hAnsi="Times New Roman" w:eastAsia="黑体" w:cs="Times New Roman"/>
          <w:b w:val="0"/>
        </w:rPr>
        <w:t>般公共预算财政拨款基本支出决算情况说明</w:t>
      </w:r>
      <w:bookmarkEnd w:id="79"/>
      <w:bookmarkEnd w:id="80"/>
      <w:bookmarkEnd w:id="81"/>
      <w:bookmarkEnd w:id="82"/>
      <w:r>
        <w:rPr>
          <w:rStyle w:val="34"/>
          <w:rFonts w:ascii="Times New Roman" w:hAnsi="Times New Roman" w:eastAsia="黑体" w:cs="Times New Roman"/>
          <w:b w:val="0"/>
        </w:rPr>
        <w:tab/>
      </w:r>
    </w:p>
    <w:p w14:paraId="4550E920">
      <w:pPr>
        <w:spacing w:line="600" w:lineRule="exact"/>
        <w:ind w:firstLine="640"/>
        <w:rPr>
          <w:rFonts w:eastAsia="仿宋_GB2312"/>
          <w:sz w:val="32"/>
          <w:szCs w:val="32"/>
        </w:rPr>
      </w:pPr>
      <w:r>
        <w:rPr>
          <w:rFonts w:eastAsia="仿宋_GB2312"/>
          <w:sz w:val="32"/>
          <w:szCs w:val="32"/>
        </w:rPr>
        <w:t>2024年度一般公共预算财政拨款基本支出2101.52</w:t>
      </w:r>
      <w:r>
        <w:rPr>
          <w:rFonts w:hAnsi="仿宋_GB2312" w:eastAsia="仿宋_GB2312"/>
          <w:sz w:val="32"/>
          <w:szCs w:val="32"/>
        </w:rPr>
        <w:t>万</w:t>
      </w:r>
      <w:r>
        <w:rPr>
          <w:rFonts w:eastAsia="仿宋_GB2312"/>
          <w:sz w:val="32"/>
          <w:szCs w:val="32"/>
        </w:rPr>
        <w:t>元，其中：</w:t>
      </w:r>
    </w:p>
    <w:p w14:paraId="31F7D929">
      <w:pPr>
        <w:spacing w:line="600" w:lineRule="exact"/>
        <w:ind w:firstLine="640"/>
        <w:rPr>
          <w:rFonts w:eastAsia="仿宋_GB2312"/>
          <w:sz w:val="32"/>
          <w:szCs w:val="32"/>
        </w:rPr>
      </w:pPr>
      <w:r>
        <w:rPr>
          <w:rFonts w:eastAsia="仿宋_GB2312"/>
          <w:sz w:val="32"/>
          <w:szCs w:val="32"/>
        </w:rPr>
        <w:t>人员经费1857.47</w:t>
      </w:r>
      <w:r>
        <w:rPr>
          <w:rFonts w:hAnsi="仿宋_GB2312" w:eastAsia="仿宋_GB2312"/>
          <w:sz w:val="32"/>
          <w:szCs w:val="32"/>
        </w:rPr>
        <w:t>万</w:t>
      </w:r>
      <w:r>
        <w:rPr>
          <w:rFonts w:eastAsia="仿宋_GB2312"/>
          <w:sz w:val="32"/>
          <w:szCs w:val="32"/>
        </w:rPr>
        <w:t>元，主要包括：基本工资、津贴补贴、奖金、绩效工资、机关事业单位基本养老保险缴费、其他社会保障缴费、其他工资福利支出、退休费、抚恤金、生活补助、医疗费补助、住房公积金、其他对个人和家庭的补助支出等。</w:t>
      </w:r>
      <w:r>
        <w:rPr>
          <w:rFonts w:eastAsia="仿宋_GB2312"/>
          <w:sz w:val="32"/>
          <w:szCs w:val="32"/>
        </w:rPr>
        <w:br w:type="textWrapping"/>
      </w:r>
      <w:r>
        <w:rPr>
          <w:rFonts w:eastAsia="仿宋_GB2312"/>
          <w:sz w:val="32"/>
          <w:szCs w:val="32"/>
        </w:rPr>
        <w:t>　　公用经费244.06</w:t>
      </w:r>
      <w:r>
        <w:rPr>
          <w:rFonts w:hAnsi="仿宋_GB2312" w:eastAsia="仿宋_GB2312"/>
          <w:sz w:val="32"/>
          <w:szCs w:val="32"/>
        </w:rPr>
        <w:t>万</w:t>
      </w:r>
      <w:r>
        <w:rPr>
          <w:rFonts w:eastAsia="仿宋_GB2312"/>
          <w:sz w:val="32"/>
          <w:szCs w:val="32"/>
        </w:rPr>
        <w:t>元，主要包括：办公费、印刷费、咨询费、手续费、邮电费、物业管理费、差旅费、维修（护）费、会议费、公务接待费、劳务费、委托业务费、工会经费、福利费、公务用车运行维护费、其他交通费、其他商品和服务支出。</w:t>
      </w:r>
    </w:p>
    <w:p w14:paraId="2D0CA624">
      <w:pPr>
        <w:spacing w:line="600" w:lineRule="exact"/>
        <w:ind w:firstLine="640"/>
        <w:outlineLvl w:val="1"/>
        <w:rPr>
          <w:rStyle w:val="34"/>
          <w:rFonts w:ascii="Times New Roman" w:hAnsi="Times New Roman" w:eastAsia="黑体" w:cs="Times New Roman"/>
          <w:b w:val="0"/>
        </w:rPr>
      </w:pPr>
      <w:bookmarkStart w:id="83" w:name="_Toc18484"/>
      <w:bookmarkStart w:id="84" w:name="_Toc1669"/>
      <w:bookmarkStart w:id="85" w:name="_Toc15396609"/>
      <w:bookmarkStart w:id="86" w:name="_Toc15377215"/>
      <w:r>
        <w:rPr>
          <w:rFonts w:eastAsia="黑体"/>
          <w:sz w:val="32"/>
          <w:szCs w:val="32"/>
        </w:rPr>
        <w:t>七、</w:t>
      </w:r>
      <w:r>
        <w:rPr>
          <w:rStyle w:val="34"/>
          <w:rFonts w:ascii="Times New Roman" w:hAnsi="Times New Roman" w:eastAsia="黑体" w:cs="Times New Roman"/>
          <w:b w:val="0"/>
        </w:rPr>
        <w:t>财政拨款</w:t>
      </w:r>
      <w:r>
        <w:rPr>
          <w:rStyle w:val="34"/>
          <w:rFonts w:ascii="Times New Roman" w:hAnsi="Times New Roman" w:eastAsia="黑体" w:cs="Times New Roman"/>
        </w:rPr>
        <w:t>“</w:t>
      </w:r>
      <w:r>
        <w:rPr>
          <w:rStyle w:val="34"/>
          <w:rFonts w:ascii="Times New Roman" w:hAnsi="Times New Roman" w:eastAsia="黑体" w:cs="Times New Roman"/>
          <w:b w:val="0"/>
        </w:rPr>
        <w:t>三公”经费支出决算情况说明</w:t>
      </w:r>
      <w:bookmarkEnd w:id="83"/>
      <w:bookmarkEnd w:id="84"/>
      <w:bookmarkEnd w:id="85"/>
      <w:bookmarkEnd w:id="86"/>
    </w:p>
    <w:p w14:paraId="2E837B10">
      <w:pPr>
        <w:spacing w:line="600" w:lineRule="exact"/>
        <w:ind w:firstLine="643" w:firstLineChars="200"/>
        <w:outlineLvl w:val="2"/>
        <w:rPr>
          <w:rFonts w:eastAsia="楷体_GB2312"/>
          <w:b/>
          <w:sz w:val="32"/>
          <w:szCs w:val="32"/>
        </w:rPr>
      </w:pPr>
      <w:bookmarkStart w:id="87" w:name="_Toc15377216"/>
      <w:r>
        <w:rPr>
          <w:rFonts w:eastAsia="楷体_GB2312"/>
          <w:b/>
          <w:sz w:val="32"/>
          <w:szCs w:val="32"/>
        </w:rPr>
        <w:t>（一）“三公”经费财政拨款支出决算总体情况说明</w:t>
      </w:r>
      <w:bookmarkEnd w:id="87"/>
    </w:p>
    <w:p w14:paraId="5B544403">
      <w:pPr>
        <w:spacing w:line="600" w:lineRule="exact"/>
        <w:ind w:firstLine="640"/>
        <w:rPr>
          <w:rFonts w:eastAsia="仿宋_GB2312"/>
          <w:sz w:val="32"/>
          <w:szCs w:val="32"/>
        </w:rPr>
      </w:pPr>
      <w:r>
        <w:rPr>
          <w:rFonts w:eastAsia="仿宋_GB2312"/>
          <w:sz w:val="32"/>
          <w:szCs w:val="32"/>
        </w:rPr>
        <w:t>2024年度“三公”经费财政拨款支出决算为67.65</w:t>
      </w:r>
      <w:r>
        <w:rPr>
          <w:rFonts w:hAnsi="仿宋_GB2312" w:eastAsia="仿宋_GB2312"/>
          <w:sz w:val="32"/>
          <w:szCs w:val="32"/>
        </w:rPr>
        <w:t>万元，完成预算</w:t>
      </w:r>
      <w:r>
        <w:rPr>
          <w:rFonts w:eastAsia="仿宋_GB2312"/>
          <w:sz w:val="32"/>
          <w:szCs w:val="32"/>
        </w:rPr>
        <w:t>88.43%</w:t>
      </w:r>
      <w:r>
        <w:rPr>
          <w:rFonts w:hAnsi="仿宋_GB2312" w:eastAsia="仿宋_GB2312"/>
          <w:sz w:val="32"/>
          <w:szCs w:val="32"/>
        </w:rPr>
        <w:t>，</w:t>
      </w:r>
      <w:r>
        <w:rPr>
          <w:rFonts w:eastAsia="仿宋_GB2312"/>
          <w:sz w:val="32"/>
          <w:szCs w:val="32"/>
        </w:rPr>
        <w:t>较上年度增加40.33万元，增长147.62%。决算数小于预算数（或与预算数持平）的主要原因是本年度购买1辆特种设备车。</w:t>
      </w:r>
    </w:p>
    <w:p w14:paraId="319E6083">
      <w:pPr>
        <w:spacing w:line="600" w:lineRule="exact"/>
        <w:ind w:firstLine="640"/>
        <w:rPr>
          <w:rFonts w:eastAsia="仿宋_GB2312"/>
          <w:b/>
          <w:bCs/>
          <w:sz w:val="32"/>
          <w:szCs w:val="32"/>
        </w:rPr>
      </w:pPr>
      <w:r>
        <w:rPr>
          <w:rFonts w:eastAsia="仿宋_GB2312"/>
          <w:b/>
          <w:bCs/>
          <w:sz w:val="32"/>
          <w:szCs w:val="32"/>
        </w:rPr>
        <w:t>（注：上述“预算”口径为全年预算数，包括一般公共预算和政府性基金预算财政拨款支出决算情况）</w:t>
      </w:r>
    </w:p>
    <w:p w14:paraId="7F9D049B">
      <w:pPr>
        <w:spacing w:line="600" w:lineRule="exact"/>
        <w:ind w:firstLine="643" w:firstLineChars="200"/>
        <w:outlineLvl w:val="2"/>
        <w:rPr>
          <w:rFonts w:eastAsia="楷体_GB2312"/>
          <w:b/>
          <w:sz w:val="32"/>
          <w:szCs w:val="32"/>
        </w:rPr>
      </w:pPr>
      <w:bookmarkStart w:id="88" w:name="_Toc15377217"/>
      <w:r>
        <w:rPr>
          <w:rFonts w:eastAsia="楷体_GB2312"/>
          <w:b/>
          <w:sz w:val="32"/>
          <w:szCs w:val="32"/>
        </w:rPr>
        <w:t>（二）“三公”经费财政拨款支出决算具体情况说明</w:t>
      </w:r>
      <w:bookmarkEnd w:id="88"/>
    </w:p>
    <w:p w14:paraId="47247CC5">
      <w:pPr>
        <w:spacing w:line="600" w:lineRule="exact"/>
        <w:ind w:firstLine="640"/>
        <w:rPr>
          <w:rFonts w:eastAsia="仿宋_GB2312"/>
          <w:sz w:val="32"/>
          <w:szCs w:val="32"/>
        </w:rPr>
      </w:pPr>
      <w:r>
        <w:rPr>
          <w:rFonts w:eastAsia="仿宋_GB2312"/>
          <w:sz w:val="32"/>
          <w:szCs w:val="32"/>
        </w:rPr>
        <w:t>2024</w:t>
      </w:r>
      <w:r>
        <w:rPr>
          <w:rFonts w:hAnsi="仿宋_GB2312" w:eastAsia="仿宋_GB2312"/>
          <w:sz w:val="32"/>
          <w:szCs w:val="32"/>
        </w:rPr>
        <w:t>年度</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经费财政拨款支出决算中，因公出国（境）费支出决算</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；公务用车购置及运行维护费支出决算</w:t>
      </w:r>
      <w:r>
        <w:rPr>
          <w:rFonts w:eastAsia="仿宋_GB2312"/>
          <w:sz w:val="32"/>
          <w:szCs w:val="32"/>
        </w:rPr>
        <w:t>62.98</w:t>
      </w:r>
      <w:r>
        <w:rPr>
          <w:rFonts w:hAnsi="仿宋_GB2312" w:eastAsia="仿宋_GB2312"/>
          <w:sz w:val="32"/>
          <w:szCs w:val="32"/>
        </w:rPr>
        <w:t>万元，占</w:t>
      </w:r>
      <w:r>
        <w:rPr>
          <w:rFonts w:eastAsia="仿宋_GB2312"/>
          <w:sz w:val="32"/>
          <w:szCs w:val="32"/>
        </w:rPr>
        <w:t>66.69%</w:t>
      </w:r>
      <w:r>
        <w:rPr>
          <w:rFonts w:hAnsi="仿宋_GB2312" w:eastAsia="仿宋_GB2312"/>
          <w:sz w:val="32"/>
          <w:szCs w:val="32"/>
        </w:rPr>
        <w:t>；公务接待费支出决算</w:t>
      </w:r>
      <w:r>
        <w:rPr>
          <w:rFonts w:eastAsia="仿宋_GB2312"/>
          <w:sz w:val="32"/>
          <w:szCs w:val="32"/>
        </w:rPr>
        <w:t>4.67</w:t>
      </w:r>
      <w:r>
        <w:rPr>
          <w:rFonts w:hAnsi="仿宋_GB2312" w:eastAsia="仿宋_GB2312"/>
          <w:sz w:val="32"/>
          <w:szCs w:val="32"/>
        </w:rPr>
        <w:t>万元，占</w:t>
      </w:r>
      <w:r>
        <w:rPr>
          <w:rFonts w:eastAsia="仿宋_GB2312"/>
          <w:sz w:val="32"/>
          <w:szCs w:val="32"/>
        </w:rPr>
        <w:t>6.9%</w:t>
      </w:r>
      <w:r>
        <w:rPr>
          <w:rFonts w:hAnsi="仿宋_GB2312" w:eastAsia="仿宋_GB2312"/>
          <w:sz w:val="32"/>
          <w:szCs w:val="32"/>
        </w:rPr>
        <w:t>。具体情况如下：</w:t>
      </w:r>
    </w:p>
    <w:p w14:paraId="62F4D157">
      <w:pPr>
        <w:spacing w:line="600" w:lineRule="exact"/>
        <w:ind w:firstLine="640"/>
        <w:rPr>
          <w:rFonts w:eastAsia="仿宋_GB2312"/>
          <w:sz w:val="32"/>
          <w:szCs w:val="32"/>
        </w:rPr>
      </w:pPr>
      <w:r>
        <w:rPr>
          <w:rFonts w:eastAsia="仿宋_GB2312"/>
          <w:sz w:val="32"/>
          <w:szCs w:val="32"/>
        </w:rPr>
        <w:t>（图7：“三公”经费财政拨款支出结构）（饼状图）</w:t>
      </w:r>
    </w:p>
    <w:p w14:paraId="573D1B42">
      <w:pPr>
        <w:rPr>
          <w:rFonts w:eastAsia="仿宋_GB2312"/>
          <w:sz w:val="32"/>
          <w:szCs w:val="32"/>
        </w:rPr>
      </w:pPr>
      <w:r>
        <w:rPr>
          <w:rFonts w:eastAsia="仿宋_GB2312"/>
          <w:sz w:val="32"/>
          <w:szCs w:val="32"/>
        </w:rPr>
        <w:pict>
          <v:shape id="_x0000_s1041" o:spid="_x0000_s1041" o:spt="75" alt="oleetimg_1708487548607881_1190496256" type="#_x0000_t75" style="position:absolute;left:0pt;margin-left:15.5pt;margin-top:4.25pt;height:230pt;width:353.35pt;mso-wrap-distance-bottom:0pt;mso-wrap-distance-left:9pt;mso-wrap-distance-right:9pt;mso-wrap-distance-top:0pt;z-index:251665408;mso-width-relative:page;mso-height-relative:page;" o:ole="t" filled="f" o:preferrelative="t" stroked="f" coordsize="21600,21600">
            <v:path/>
            <v:fill on="f" focussize="0,0"/>
            <v:stroke on="f" joinstyle="miter"/>
            <v:imagedata r:id="rId21" o:title=""/>
            <o:lock v:ext="edit" aspectratio="t"/>
            <w10:wrap type="square"/>
          </v:shape>
          <o:OLEObject Type="Embed" ProgID="Office12.Excel.Template" ShapeID="_x0000_s1041" DrawAspect="Content" ObjectID="_1468075731" r:id="rId20">
            <o:LockedField>false</o:LockedField>
          </o:OLEObject>
        </w:pict>
      </w:r>
    </w:p>
    <w:p w14:paraId="2780B90B"/>
    <w:p w14:paraId="09925945">
      <w:pPr>
        <w:spacing w:line="600" w:lineRule="exact"/>
        <w:ind w:firstLine="640"/>
        <w:rPr>
          <w:rFonts w:eastAsia="仿宋_GB2312"/>
          <w:b/>
          <w:bCs/>
          <w:sz w:val="32"/>
          <w:szCs w:val="32"/>
        </w:rPr>
      </w:pPr>
    </w:p>
    <w:p w14:paraId="35A2BDC6">
      <w:pPr>
        <w:spacing w:line="600" w:lineRule="exact"/>
        <w:ind w:firstLine="640"/>
        <w:rPr>
          <w:rFonts w:eastAsia="仿宋_GB2312"/>
          <w:b/>
          <w:bCs/>
          <w:sz w:val="32"/>
          <w:szCs w:val="32"/>
        </w:rPr>
      </w:pPr>
    </w:p>
    <w:p w14:paraId="00731B60">
      <w:pPr>
        <w:spacing w:line="600" w:lineRule="exact"/>
        <w:ind w:firstLine="640"/>
        <w:rPr>
          <w:rFonts w:eastAsia="仿宋_GB2312"/>
          <w:b/>
          <w:bCs/>
          <w:sz w:val="32"/>
          <w:szCs w:val="32"/>
        </w:rPr>
      </w:pPr>
    </w:p>
    <w:p w14:paraId="648FCD3D">
      <w:pPr>
        <w:spacing w:line="600" w:lineRule="exact"/>
        <w:ind w:firstLine="640"/>
        <w:rPr>
          <w:rFonts w:eastAsia="仿宋_GB2312"/>
          <w:b/>
          <w:bCs/>
          <w:sz w:val="32"/>
          <w:szCs w:val="32"/>
        </w:rPr>
      </w:pPr>
    </w:p>
    <w:p w14:paraId="060C7499">
      <w:pPr>
        <w:spacing w:line="600" w:lineRule="exact"/>
        <w:ind w:firstLine="640"/>
        <w:rPr>
          <w:rFonts w:eastAsia="仿宋_GB2312"/>
          <w:b/>
          <w:bCs/>
          <w:sz w:val="32"/>
          <w:szCs w:val="32"/>
        </w:rPr>
      </w:pPr>
    </w:p>
    <w:p w14:paraId="5C7FD92E">
      <w:pPr>
        <w:spacing w:line="600" w:lineRule="exact"/>
        <w:ind w:firstLine="640"/>
        <w:rPr>
          <w:rFonts w:eastAsia="仿宋_GB2312"/>
          <w:b/>
          <w:bCs/>
          <w:sz w:val="32"/>
          <w:szCs w:val="32"/>
        </w:rPr>
      </w:pPr>
    </w:p>
    <w:p w14:paraId="6A7C1328">
      <w:pPr>
        <w:spacing w:line="600" w:lineRule="exact"/>
        <w:ind w:firstLine="640"/>
        <w:rPr>
          <w:rFonts w:eastAsia="仿宋_GB2312"/>
          <w:b/>
          <w:bCs/>
          <w:sz w:val="32"/>
          <w:szCs w:val="32"/>
        </w:rPr>
      </w:pPr>
    </w:p>
    <w:p w14:paraId="00A8EDC7">
      <w:pPr>
        <w:spacing w:line="600" w:lineRule="exact"/>
        <w:ind w:firstLine="643" w:firstLineChars="200"/>
        <w:rPr>
          <w:rFonts w:eastAsia="仿宋_GB2312"/>
          <w:sz w:val="32"/>
          <w:szCs w:val="32"/>
        </w:rPr>
      </w:pPr>
      <w:r>
        <w:rPr>
          <w:rFonts w:eastAsia="仿宋_GB2312"/>
          <w:b/>
          <w:bCs/>
          <w:sz w:val="32"/>
          <w:szCs w:val="32"/>
        </w:rPr>
        <w:t>1.因公出国（境）经费支出0万元，完成预算0%。</w:t>
      </w:r>
      <w:r>
        <w:rPr>
          <w:rFonts w:eastAsia="仿宋_GB2312"/>
          <w:sz w:val="32"/>
          <w:szCs w:val="32"/>
        </w:rPr>
        <w:t>全年安排因公出国（境）团</w:t>
      </w:r>
      <w:r>
        <w:rPr>
          <w:rFonts w:hAnsi="仿宋_GB2312" w:eastAsia="仿宋_GB2312"/>
          <w:sz w:val="32"/>
          <w:szCs w:val="32"/>
        </w:rPr>
        <w:t>组</w:t>
      </w:r>
      <w:r>
        <w:rPr>
          <w:rFonts w:eastAsia="仿宋_GB2312"/>
          <w:sz w:val="32"/>
          <w:szCs w:val="32"/>
        </w:rPr>
        <w:t>0次，出国（境）0</w:t>
      </w:r>
      <w:r>
        <w:rPr>
          <w:rFonts w:hAnsi="仿宋_GB2312" w:eastAsia="仿宋_GB2312"/>
          <w:sz w:val="32"/>
          <w:szCs w:val="32"/>
        </w:rPr>
        <w:t>人</w:t>
      </w:r>
      <w:r>
        <w:rPr>
          <w:rFonts w:eastAsia="仿宋_GB2312"/>
          <w:sz w:val="32"/>
          <w:szCs w:val="32"/>
        </w:rPr>
        <w:t>。因公出国（境）支出决算比2023年持平。</w:t>
      </w:r>
    </w:p>
    <w:p w14:paraId="1A212B64">
      <w:pPr>
        <w:spacing w:line="600" w:lineRule="exact"/>
        <w:ind w:firstLine="640"/>
        <w:rPr>
          <w:rFonts w:eastAsia="仿宋_GB2312"/>
          <w:sz w:val="32"/>
          <w:szCs w:val="32"/>
        </w:rPr>
      </w:pPr>
      <w:r>
        <w:rPr>
          <w:rFonts w:eastAsia="仿宋_GB2312"/>
          <w:b/>
          <w:bCs/>
          <w:sz w:val="32"/>
          <w:szCs w:val="32"/>
        </w:rPr>
        <w:t>2.公务用车购置及运行维护费支出62.98</w:t>
      </w:r>
      <w:r>
        <w:rPr>
          <w:rFonts w:hAnsi="仿宋_GB2312" w:eastAsia="仿宋_GB2312"/>
          <w:b/>
          <w:bCs/>
          <w:sz w:val="32"/>
          <w:szCs w:val="32"/>
        </w:rPr>
        <w:t>万</w:t>
      </w:r>
      <w:r>
        <w:rPr>
          <w:rFonts w:eastAsia="仿宋_GB2312"/>
          <w:b/>
          <w:bCs/>
          <w:sz w:val="32"/>
          <w:szCs w:val="32"/>
        </w:rPr>
        <w:t>元，完成预算93.1%。</w:t>
      </w:r>
      <w:r>
        <w:rPr>
          <w:rFonts w:eastAsia="仿宋_GB2312"/>
          <w:sz w:val="32"/>
          <w:szCs w:val="32"/>
        </w:rPr>
        <w:t>公务用车购置及运行维护费支出决算比2023年度增加49.03万元，增长351.47%。主要原因是本年度购买1辆特种设备车。</w:t>
      </w:r>
    </w:p>
    <w:p w14:paraId="01F030A3">
      <w:pPr>
        <w:spacing w:line="600" w:lineRule="exact"/>
        <w:ind w:firstLine="640"/>
        <w:rPr>
          <w:rFonts w:eastAsia="仿宋_GB2312"/>
          <w:sz w:val="32"/>
          <w:szCs w:val="32"/>
        </w:rPr>
      </w:pPr>
      <w:r>
        <w:rPr>
          <w:rFonts w:eastAsia="仿宋_GB2312"/>
          <w:sz w:val="32"/>
          <w:szCs w:val="32"/>
        </w:rPr>
        <w:t>其中：公务用车购置支</w:t>
      </w:r>
      <w:r>
        <w:rPr>
          <w:rFonts w:hAnsi="仿宋_GB2312" w:eastAsia="仿宋_GB2312"/>
          <w:sz w:val="32"/>
          <w:szCs w:val="32"/>
        </w:rPr>
        <w:t>出</w:t>
      </w:r>
      <w:r>
        <w:rPr>
          <w:rFonts w:eastAsia="仿宋_GB2312"/>
          <w:sz w:val="32"/>
          <w:szCs w:val="32"/>
        </w:rPr>
        <w:t>49.5万元。全年按规定更新购置公务用车1辆，其中：机要通信用车1辆。截至2024年12月31日，单位共有公务用车5辆，其中：轿车3辆、越野车1辆、机要通信用车1辆。</w:t>
      </w:r>
    </w:p>
    <w:p w14:paraId="45CCE76C">
      <w:pPr>
        <w:spacing w:line="600" w:lineRule="exact"/>
        <w:ind w:firstLine="640"/>
        <w:rPr>
          <w:rFonts w:eastAsia="仿宋_GB2312"/>
          <w:sz w:val="32"/>
          <w:szCs w:val="32"/>
        </w:rPr>
      </w:pPr>
      <w:r>
        <w:rPr>
          <w:rFonts w:eastAsia="仿宋_GB2312"/>
          <w:sz w:val="32"/>
          <w:szCs w:val="32"/>
        </w:rPr>
        <w:t>公务用车运行维护费支</w:t>
      </w:r>
      <w:r>
        <w:rPr>
          <w:rFonts w:hAnsi="仿宋_GB2312" w:eastAsia="仿宋_GB2312"/>
          <w:sz w:val="32"/>
          <w:szCs w:val="32"/>
        </w:rPr>
        <w:t>出</w:t>
      </w:r>
      <w:r>
        <w:rPr>
          <w:rFonts w:eastAsia="仿宋_GB2312"/>
          <w:sz w:val="32"/>
          <w:szCs w:val="32"/>
        </w:rPr>
        <w:t>13.48万元。主要用于所需的公务用车燃料费、维修费、过路过桥费、保险费等支出。</w:t>
      </w:r>
    </w:p>
    <w:p w14:paraId="1589BB92">
      <w:pPr>
        <w:spacing w:line="600" w:lineRule="exact"/>
        <w:ind w:firstLine="640"/>
        <w:rPr>
          <w:rFonts w:eastAsia="仿宋_GB2312"/>
          <w:sz w:val="32"/>
          <w:szCs w:val="32"/>
        </w:rPr>
      </w:pPr>
      <w:r>
        <w:rPr>
          <w:rFonts w:eastAsia="仿宋_GB2312"/>
          <w:b/>
          <w:bCs/>
          <w:sz w:val="32"/>
          <w:szCs w:val="32"/>
        </w:rPr>
        <w:t>3.公务接待费支出4.67</w:t>
      </w:r>
      <w:r>
        <w:rPr>
          <w:rFonts w:hAnsi="仿宋_GB2312" w:eastAsia="仿宋_GB2312"/>
          <w:b/>
          <w:bCs/>
          <w:sz w:val="32"/>
          <w:szCs w:val="32"/>
        </w:rPr>
        <w:t>万</w:t>
      </w:r>
      <w:r>
        <w:rPr>
          <w:rFonts w:eastAsia="仿宋_GB2312"/>
          <w:b/>
          <w:bCs/>
          <w:sz w:val="32"/>
          <w:szCs w:val="32"/>
        </w:rPr>
        <w:t>元，完成预算35.9%。</w:t>
      </w:r>
      <w:r>
        <w:rPr>
          <w:rFonts w:eastAsia="仿宋_GB2312"/>
          <w:sz w:val="32"/>
          <w:szCs w:val="32"/>
        </w:rPr>
        <w:t>公务接待费支出决算比2023年度减少2.06万元，下降30.61%。主要原因是厉行节约，严格执行三公经费的相关规定。其中：</w:t>
      </w:r>
    </w:p>
    <w:p w14:paraId="6FED91FF">
      <w:pPr>
        <w:spacing w:line="600" w:lineRule="exact"/>
        <w:ind w:firstLine="640"/>
        <w:rPr>
          <w:rFonts w:eastAsia="仿宋_GB2312"/>
          <w:sz w:val="32"/>
          <w:szCs w:val="32"/>
        </w:rPr>
      </w:pPr>
      <w:r>
        <w:rPr>
          <w:rFonts w:eastAsia="仿宋_GB2312"/>
          <w:sz w:val="32"/>
          <w:szCs w:val="32"/>
        </w:rPr>
        <w:t>国内公务接待支</w:t>
      </w:r>
      <w:r>
        <w:rPr>
          <w:rFonts w:hAnsi="仿宋_GB2312" w:eastAsia="仿宋_GB2312"/>
          <w:sz w:val="32"/>
          <w:szCs w:val="32"/>
        </w:rPr>
        <w:t>出</w:t>
      </w:r>
      <w:r>
        <w:rPr>
          <w:rFonts w:eastAsia="仿宋_GB2312"/>
          <w:sz w:val="32"/>
          <w:szCs w:val="32"/>
        </w:rPr>
        <w:t>4.67</w:t>
      </w:r>
      <w:r>
        <w:rPr>
          <w:rFonts w:hAnsi="仿宋_GB2312" w:eastAsia="仿宋_GB2312"/>
          <w:sz w:val="32"/>
          <w:szCs w:val="32"/>
        </w:rPr>
        <w:t>万</w:t>
      </w:r>
      <w:r>
        <w:rPr>
          <w:rFonts w:eastAsia="仿宋_GB2312"/>
          <w:sz w:val="32"/>
          <w:szCs w:val="32"/>
        </w:rPr>
        <w:t>元，主要用于执行公务、开展业务活动开支的交通费、住宿费、用餐费等。国内公务接</w:t>
      </w:r>
      <w:r>
        <w:rPr>
          <w:rFonts w:hAnsi="仿宋_GB2312" w:eastAsia="仿宋_GB2312"/>
          <w:sz w:val="32"/>
          <w:szCs w:val="32"/>
        </w:rPr>
        <w:t>待</w:t>
      </w:r>
      <w:r>
        <w:rPr>
          <w:rFonts w:eastAsia="仿宋_GB2312"/>
          <w:sz w:val="32"/>
          <w:szCs w:val="32"/>
        </w:rPr>
        <w:t>37</w:t>
      </w:r>
      <w:r>
        <w:rPr>
          <w:rFonts w:hAnsi="仿宋_GB2312" w:eastAsia="仿宋_GB2312"/>
          <w:sz w:val="32"/>
          <w:szCs w:val="32"/>
        </w:rPr>
        <w:t>批次，</w:t>
      </w:r>
      <w:r>
        <w:rPr>
          <w:rFonts w:eastAsia="仿宋_GB2312"/>
          <w:sz w:val="32"/>
          <w:szCs w:val="32"/>
        </w:rPr>
        <w:t>388人次（不包括陪同人员），共计支出4.67万元，具体内容包括：接待市委工委督导调研费用、绵阳市莅遂调研电子信息及锂电产业等费用、经济和信息化厅来遂了解产业推荐情况等费用、四川省经济信息开展大摸底排查专项整治工作费用、接待省清欠专班第八督察组费用、接待雅安</w:t>
      </w:r>
      <w:r>
        <w:rPr>
          <w:rFonts w:hint="eastAsia" w:eastAsia="仿宋_GB2312"/>
          <w:sz w:val="32"/>
          <w:szCs w:val="32"/>
          <w:lang w:val="en-US" w:eastAsia="zh-CN"/>
        </w:rPr>
        <w:t>市经济和信息化</w:t>
      </w:r>
      <w:r>
        <w:rPr>
          <w:rFonts w:eastAsia="仿宋_GB2312"/>
          <w:sz w:val="32"/>
          <w:szCs w:val="32"/>
        </w:rPr>
        <w:t>局费用、接待内江自贡资阳三市经信部门费用、接待甘孜州政府一行莅遂开展交流座谈会费用、达州市党政代表团莅遂考察等费用。</w:t>
      </w:r>
    </w:p>
    <w:p w14:paraId="5094DF98">
      <w:pPr>
        <w:spacing w:line="600" w:lineRule="exact"/>
        <w:ind w:firstLine="640"/>
        <w:rPr>
          <w:rFonts w:eastAsia="仿宋_GB2312"/>
          <w:sz w:val="32"/>
          <w:szCs w:val="32"/>
        </w:rPr>
      </w:pPr>
      <w:r>
        <w:rPr>
          <w:rFonts w:eastAsia="仿宋_GB2312"/>
          <w:sz w:val="32"/>
          <w:szCs w:val="32"/>
        </w:rPr>
        <w:t>外事接待支</w:t>
      </w:r>
      <w:r>
        <w:rPr>
          <w:rFonts w:hAnsi="仿宋_GB2312" w:eastAsia="仿宋_GB2312"/>
          <w:sz w:val="32"/>
          <w:szCs w:val="32"/>
        </w:rPr>
        <w:t>出</w:t>
      </w:r>
      <w:r>
        <w:rPr>
          <w:rFonts w:eastAsia="仿宋_GB2312"/>
          <w:sz w:val="32"/>
          <w:szCs w:val="32"/>
        </w:rPr>
        <w:t>0</w:t>
      </w:r>
      <w:r>
        <w:rPr>
          <w:rFonts w:hAnsi="仿宋_GB2312" w:eastAsia="仿宋_GB2312"/>
          <w:sz w:val="32"/>
          <w:szCs w:val="32"/>
        </w:rPr>
        <w:t>万元。外事接待</w:t>
      </w:r>
      <w:r>
        <w:rPr>
          <w:rFonts w:eastAsia="仿宋_GB2312"/>
          <w:sz w:val="32"/>
          <w:szCs w:val="32"/>
        </w:rPr>
        <w:t>0</w:t>
      </w:r>
      <w:r>
        <w:rPr>
          <w:rFonts w:hAnsi="仿宋_GB2312" w:eastAsia="仿宋_GB2312"/>
          <w:sz w:val="32"/>
          <w:szCs w:val="32"/>
        </w:rPr>
        <w:t>批次，</w:t>
      </w:r>
      <w:r>
        <w:rPr>
          <w:rFonts w:eastAsia="仿宋_GB2312"/>
          <w:sz w:val="32"/>
          <w:szCs w:val="32"/>
        </w:rPr>
        <w:t>0</w:t>
      </w:r>
      <w:r>
        <w:rPr>
          <w:rFonts w:hAnsi="仿宋_GB2312" w:eastAsia="仿宋_GB2312"/>
          <w:sz w:val="32"/>
          <w:szCs w:val="32"/>
        </w:rPr>
        <w:t>人次（不包括陪同人员），共计支出</w:t>
      </w:r>
      <w:r>
        <w:rPr>
          <w:rFonts w:eastAsia="仿宋_GB2312"/>
          <w:sz w:val="32"/>
          <w:szCs w:val="32"/>
        </w:rPr>
        <w:t>0</w:t>
      </w:r>
      <w:r>
        <w:rPr>
          <w:rFonts w:hAnsi="仿宋_GB2312" w:eastAsia="仿宋_GB2312"/>
          <w:sz w:val="32"/>
          <w:szCs w:val="32"/>
        </w:rPr>
        <w:t>万</w:t>
      </w:r>
      <w:r>
        <w:rPr>
          <w:rFonts w:eastAsia="仿宋_GB2312"/>
          <w:sz w:val="32"/>
          <w:szCs w:val="32"/>
        </w:rPr>
        <w:t>元。</w:t>
      </w:r>
    </w:p>
    <w:p w14:paraId="4A11BA9F">
      <w:pPr>
        <w:spacing w:line="600" w:lineRule="exact"/>
        <w:ind w:firstLine="640"/>
        <w:outlineLvl w:val="1"/>
        <w:rPr>
          <w:rStyle w:val="34"/>
          <w:rFonts w:ascii="Times New Roman" w:hAnsi="Times New Roman" w:eastAsia="黑体" w:cs="Times New Roman"/>
        </w:rPr>
      </w:pPr>
      <w:bookmarkStart w:id="89" w:name="_Toc22364"/>
      <w:bookmarkStart w:id="90" w:name="_Toc15396610"/>
      <w:bookmarkStart w:id="91" w:name="_Toc1091"/>
      <w:bookmarkStart w:id="92" w:name="_Toc15377218"/>
      <w:r>
        <w:rPr>
          <w:rFonts w:eastAsia="黑体"/>
          <w:sz w:val="32"/>
          <w:szCs w:val="32"/>
        </w:rPr>
        <w:t>八、</w:t>
      </w:r>
      <w:r>
        <w:rPr>
          <w:rStyle w:val="34"/>
          <w:rFonts w:ascii="Times New Roman" w:hAnsi="Times New Roman" w:eastAsia="黑体" w:cs="Times New Roman"/>
          <w:b w:val="0"/>
        </w:rPr>
        <w:t>政府性基金预算支出决算情况说明</w:t>
      </w:r>
      <w:bookmarkEnd w:id="89"/>
      <w:bookmarkEnd w:id="90"/>
      <w:bookmarkEnd w:id="91"/>
      <w:bookmarkEnd w:id="92"/>
    </w:p>
    <w:p w14:paraId="4674D852">
      <w:pPr>
        <w:spacing w:line="600" w:lineRule="exact"/>
        <w:ind w:firstLine="640"/>
        <w:rPr>
          <w:rFonts w:eastAsia="仿宋_GB2312"/>
          <w:sz w:val="32"/>
          <w:szCs w:val="32"/>
        </w:rPr>
      </w:pPr>
      <w:r>
        <w:rPr>
          <w:rFonts w:eastAsia="仿宋_GB2312"/>
          <w:sz w:val="32"/>
          <w:szCs w:val="32"/>
        </w:rPr>
        <w:t>2024</w:t>
      </w:r>
      <w:r>
        <w:rPr>
          <w:rFonts w:hAnsi="仿宋_GB2312" w:eastAsia="仿宋_GB2312"/>
          <w:sz w:val="32"/>
          <w:szCs w:val="32"/>
        </w:rPr>
        <w:t>年度政府性基金预算财政拨款支出</w:t>
      </w:r>
      <w:r>
        <w:rPr>
          <w:rFonts w:eastAsia="仿宋_GB2312"/>
          <w:sz w:val="32"/>
          <w:szCs w:val="32"/>
        </w:rPr>
        <w:t>0</w:t>
      </w:r>
      <w:r>
        <w:rPr>
          <w:rFonts w:hAnsi="仿宋_GB2312" w:eastAsia="仿宋_GB2312"/>
          <w:sz w:val="32"/>
          <w:szCs w:val="32"/>
        </w:rPr>
        <w:t>万元，占本年支出合计的</w:t>
      </w:r>
      <w:r>
        <w:rPr>
          <w:rFonts w:eastAsia="仿宋_GB2312"/>
          <w:sz w:val="32"/>
          <w:szCs w:val="32"/>
        </w:rPr>
        <w:t>0%。与2023年度相比，政府性基金预算财政拨款支出持平。</w:t>
      </w:r>
    </w:p>
    <w:p w14:paraId="7E80787C">
      <w:pPr>
        <w:spacing w:line="600" w:lineRule="exact"/>
        <w:ind w:left="630"/>
        <w:outlineLvl w:val="1"/>
        <w:rPr>
          <w:rStyle w:val="34"/>
          <w:rFonts w:ascii="Times New Roman" w:hAnsi="Times New Roman" w:eastAsia="黑体" w:cs="Times New Roman"/>
          <w:b w:val="0"/>
        </w:rPr>
      </w:pPr>
      <w:bookmarkStart w:id="93" w:name="_Toc17476"/>
      <w:bookmarkStart w:id="94" w:name="_Toc16691"/>
      <w:bookmarkStart w:id="95" w:name="_Toc15396611"/>
      <w:bookmarkStart w:id="96" w:name="_Toc15377219"/>
      <w:r>
        <w:rPr>
          <w:rStyle w:val="34"/>
          <w:rFonts w:ascii="Times New Roman" w:hAnsi="Times New Roman" w:eastAsia="黑体" w:cs="Times New Roman"/>
          <w:b w:val="0"/>
        </w:rPr>
        <w:t>九、国有资本经营预算支出决算情况说明</w:t>
      </w:r>
      <w:bookmarkEnd w:id="93"/>
      <w:bookmarkEnd w:id="94"/>
      <w:bookmarkEnd w:id="95"/>
      <w:bookmarkEnd w:id="96"/>
    </w:p>
    <w:p w14:paraId="76488513">
      <w:pPr>
        <w:spacing w:line="600" w:lineRule="exact"/>
        <w:ind w:firstLine="640"/>
        <w:rPr>
          <w:rFonts w:eastAsia="仿宋_GB2312"/>
          <w:sz w:val="32"/>
          <w:szCs w:val="32"/>
        </w:rPr>
      </w:pPr>
      <w:r>
        <w:rPr>
          <w:rFonts w:eastAsia="仿宋_GB2312"/>
          <w:sz w:val="32"/>
          <w:szCs w:val="32"/>
        </w:rPr>
        <w:t>2024年度国有资本经营预算财政拨款支出0</w:t>
      </w:r>
      <w:r>
        <w:rPr>
          <w:rFonts w:hAnsi="仿宋_GB2312" w:eastAsia="仿宋_GB2312"/>
          <w:sz w:val="32"/>
          <w:szCs w:val="32"/>
        </w:rPr>
        <w:t>万元，占本年支出合计的</w:t>
      </w:r>
      <w:r>
        <w:rPr>
          <w:rFonts w:eastAsia="仿宋_GB2312"/>
          <w:sz w:val="32"/>
          <w:szCs w:val="32"/>
        </w:rPr>
        <w:t>0%。与2023年度相比，国有资本经营预算财政拨款支出持平。</w:t>
      </w:r>
    </w:p>
    <w:p w14:paraId="7A86CA8B">
      <w:pPr>
        <w:spacing w:line="600" w:lineRule="exact"/>
        <w:ind w:left="630"/>
        <w:outlineLvl w:val="1"/>
        <w:rPr>
          <w:rStyle w:val="34"/>
          <w:rFonts w:ascii="Times New Roman" w:hAnsi="Times New Roman" w:eastAsia="黑体" w:cs="Times New Roman"/>
          <w:b w:val="0"/>
        </w:rPr>
      </w:pPr>
      <w:bookmarkStart w:id="97" w:name="_Toc15396612"/>
      <w:bookmarkStart w:id="98" w:name="_Toc13514"/>
      <w:bookmarkStart w:id="99" w:name="_Toc28518"/>
      <w:bookmarkStart w:id="100" w:name="_Toc15377221"/>
      <w:r>
        <w:rPr>
          <w:rStyle w:val="34"/>
          <w:rFonts w:ascii="Times New Roman" w:hAnsi="Times New Roman" w:eastAsia="黑体" w:cs="Times New Roman"/>
          <w:b w:val="0"/>
        </w:rPr>
        <w:t>十、其他重要事项的情况说明</w:t>
      </w:r>
      <w:bookmarkEnd w:id="97"/>
      <w:bookmarkEnd w:id="98"/>
      <w:bookmarkEnd w:id="99"/>
      <w:bookmarkEnd w:id="100"/>
    </w:p>
    <w:p w14:paraId="2575B439">
      <w:pPr>
        <w:spacing w:line="600" w:lineRule="exact"/>
        <w:ind w:firstLine="643" w:firstLineChars="200"/>
        <w:outlineLvl w:val="2"/>
        <w:rPr>
          <w:rFonts w:eastAsia="楷体_GB2312"/>
          <w:b/>
          <w:sz w:val="32"/>
          <w:szCs w:val="32"/>
        </w:rPr>
      </w:pPr>
      <w:bookmarkStart w:id="101" w:name="_Toc15377222"/>
      <w:r>
        <w:rPr>
          <w:rFonts w:eastAsia="楷体_GB2312"/>
          <w:b/>
          <w:sz w:val="32"/>
          <w:szCs w:val="32"/>
        </w:rPr>
        <w:t>（一）机关运行经费支出情况</w:t>
      </w:r>
      <w:bookmarkEnd w:id="101"/>
    </w:p>
    <w:p w14:paraId="1E98ED42">
      <w:pPr>
        <w:spacing w:line="600" w:lineRule="exact"/>
        <w:ind w:firstLine="640"/>
        <w:rPr>
          <w:rFonts w:eastAsia="仿宋_GB2312"/>
          <w:sz w:val="32"/>
          <w:szCs w:val="32"/>
        </w:rPr>
      </w:pPr>
      <w:r>
        <w:rPr>
          <w:rFonts w:eastAsia="仿宋_GB2312"/>
          <w:sz w:val="32"/>
          <w:szCs w:val="32"/>
        </w:rPr>
        <w:t>2024年度</w:t>
      </w:r>
      <w:r>
        <w:rPr>
          <w:rFonts w:hAnsi="仿宋_GB2312" w:eastAsia="仿宋_GB2312"/>
          <w:sz w:val="32"/>
          <w:szCs w:val="32"/>
        </w:rPr>
        <w:t>，遂宁市经济和信息化局机关运行经费支出</w:t>
      </w:r>
      <w:r>
        <w:rPr>
          <w:rFonts w:eastAsia="仿宋_GB2312"/>
          <w:sz w:val="32"/>
          <w:szCs w:val="32"/>
        </w:rPr>
        <w:t>244.06</w:t>
      </w:r>
      <w:r>
        <w:rPr>
          <w:rFonts w:hAnsi="仿宋_GB2312" w:eastAsia="仿宋_GB2312"/>
          <w:sz w:val="32"/>
          <w:szCs w:val="32"/>
        </w:rPr>
        <w:t>万</w:t>
      </w:r>
      <w:r>
        <w:rPr>
          <w:rFonts w:eastAsia="仿宋_GB2312"/>
          <w:sz w:val="32"/>
          <w:szCs w:val="32"/>
        </w:rPr>
        <w:t>元，比2023年度增加62.57万元，增长34.48%。主要原因是本年日常公用经费的增加。</w:t>
      </w:r>
    </w:p>
    <w:p w14:paraId="5F49A597">
      <w:pPr>
        <w:spacing w:line="600" w:lineRule="exact"/>
        <w:ind w:firstLine="643" w:firstLineChars="200"/>
        <w:outlineLvl w:val="2"/>
        <w:rPr>
          <w:rFonts w:eastAsia="楷体_GB2312"/>
          <w:b/>
          <w:sz w:val="32"/>
          <w:szCs w:val="32"/>
        </w:rPr>
      </w:pPr>
      <w:bookmarkStart w:id="102" w:name="_Toc15377223"/>
      <w:r>
        <w:rPr>
          <w:rFonts w:eastAsia="楷体_GB2312"/>
          <w:b/>
          <w:sz w:val="32"/>
          <w:szCs w:val="32"/>
        </w:rPr>
        <w:t>（二）政府采购支出情况</w:t>
      </w:r>
      <w:bookmarkEnd w:id="102"/>
    </w:p>
    <w:p w14:paraId="581B26E2">
      <w:pPr>
        <w:spacing w:line="600" w:lineRule="exact"/>
        <w:ind w:firstLine="640"/>
        <w:rPr>
          <w:rFonts w:eastAsia="仿宋_GB2312"/>
          <w:sz w:val="32"/>
          <w:szCs w:val="32"/>
        </w:rPr>
      </w:pPr>
      <w:r>
        <w:rPr>
          <w:rFonts w:eastAsia="仿宋_GB2312"/>
          <w:sz w:val="32"/>
          <w:szCs w:val="32"/>
        </w:rPr>
        <w:t>2024</w:t>
      </w:r>
      <w:r>
        <w:rPr>
          <w:rFonts w:hAnsi="仿宋_GB2312" w:eastAsia="仿宋_GB2312"/>
          <w:sz w:val="32"/>
          <w:szCs w:val="32"/>
        </w:rPr>
        <w:t>年度，遂宁市经济和信息化局政府采购支出总额</w:t>
      </w:r>
      <w:r>
        <w:rPr>
          <w:rFonts w:eastAsia="仿宋_GB2312"/>
          <w:sz w:val="32"/>
          <w:szCs w:val="32"/>
        </w:rPr>
        <w:t>61.63</w:t>
      </w:r>
      <w:r>
        <w:rPr>
          <w:rFonts w:hAnsi="仿宋_GB2312" w:eastAsia="仿宋_GB2312"/>
          <w:sz w:val="32"/>
          <w:szCs w:val="32"/>
        </w:rPr>
        <w:t>万元，其中：政府采购货物支出</w:t>
      </w:r>
      <w:r>
        <w:rPr>
          <w:rFonts w:eastAsia="仿宋_GB2312"/>
          <w:sz w:val="32"/>
          <w:szCs w:val="32"/>
        </w:rPr>
        <w:t>0</w:t>
      </w:r>
      <w:r>
        <w:rPr>
          <w:rFonts w:hAnsi="仿宋_GB2312" w:eastAsia="仿宋_GB2312"/>
          <w:sz w:val="32"/>
          <w:szCs w:val="32"/>
        </w:rPr>
        <w:t>万元、政府采购工程支出</w:t>
      </w:r>
      <w:r>
        <w:rPr>
          <w:rFonts w:eastAsia="仿宋_GB2312"/>
          <w:sz w:val="32"/>
          <w:szCs w:val="32"/>
        </w:rPr>
        <w:t>0</w:t>
      </w:r>
      <w:r>
        <w:rPr>
          <w:rFonts w:hAnsi="仿宋_GB2312" w:eastAsia="仿宋_GB2312"/>
          <w:sz w:val="32"/>
          <w:szCs w:val="32"/>
        </w:rPr>
        <w:t>万元、政府采购服务支出</w:t>
      </w:r>
      <w:r>
        <w:rPr>
          <w:rFonts w:eastAsia="仿宋_GB2312"/>
          <w:sz w:val="32"/>
          <w:szCs w:val="32"/>
        </w:rPr>
        <w:t>61.63</w:t>
      </w:r>
      <w:r>
        <w:rPr>
          <w:rFonts w:hAnsi="仿宋_GB2312" w:eastAsia="仿宋_GB2312"/>
          <w:sz w:val="32"/>
          <w:szCs w:val="32"/>
        </w:rPr>
        <w:t>万元。</w:t>
      </w:r>
      <w:r>
        <w:rPr>
          <w:rFonts w:eastAsia="仿宋_GB2312"/>
          <w:sz w:val="32"/>
          <w:szCs w:val="32"/>
        </w:rPr>
        <w:t xml:space="preserve"> </w:t>
      </w:r>
      <w:r>
        <w:rPr>
          <w:rFonts w:hAnsi="仿宋_GB2312" w:eastAsia="仿宋_GB2312"/>
          <w:sz w:val="32"/>
          <w:szCs w:val="32"/>
        </w:rPr>
        <w:t>授予中小企业合同金额</w:t>
      </w:r>
      <w:r>
        <w:rPr>
          <w:rFonts w:eastAsia="仿宋_GB2312"/>
          <w:sz w:val="32"/>
          <w:szCs w:val="32"/>
        </w:rPr>
        <w:t>0</w:t>
      </w:r>
      <w:r>
        <w:rPr>
          <w:rFonts w:hAnsi="仿宋_GB2312" w:eastAsia="仿宋_GB2312"/>
          <w:sz w:val="32"/>
          <w:szCs w:val="32"/>
        </w:rPr>
        <w:t>万元，占政府采购支出总额的</w:t>
      </w:r>
      <w:r>
        <w:rPr>
          <w:rFonts w:eastAsia="仿宋_GB2312"/>
          <w:sz w:val="32"/>
          <w:szCs w:val="32"/>
        </w:rPr>
        <w:t>0%</w:t>
      </w:r>
      <w:r>
        <w:rPr>
          <w:rFonts w:hAnsi="仿宋_GB2312" w:eastAsia="仿宋_GB2312"/>
          <w:sz w:val="32"/>
          <w:szCs w:val="32"/>
        </w:rPr>
        <w:t>，其中：授予小微企业合同金额</w:t>
      </w:r>
      <w:r>
        <w:rPr>
          <w:rFonts w:eastAsia="仿宋_GB2312"/>
          <w:sz w:val="32"/>
          <w:szCs w:val="32"/>
        </w:rPr>
        <w:t>0</w:t>
      </w:r>
      <w:r>
        <w:rPr>
          <w:rFonts w:hAnsi="仿宋_GB2312" w:eastAsia="仿宋_GB2312"/>
          <w:sz w:val="32"/>
          <w:szCs w:val="32"/>
        </w:rPr>
        <w:t>万元，占政府采购支出总额的</w:t>
      </w:r>
      <w:r>
        <w:rPr>
          <w:rFonts w:eastAsia="仿宋_GB2312"/>
          <w:sz w:val="32"/>
          <w:szCs w:val="32"/>
        </w:rPr>
        <w:t>0%</w:t>
      </w:r>
      <w:r>
        <w:rPr>
          <w:rFonts w:hAnsi="仿宋_GB2312" w:eastAsia="仿宋_GB2312"/>
          <w:sz w:val="32"/>
          <w:szCs w:val="32"/>
        </w:rPr>
        <w:t>。</w:t>
      </w:r>
    </w:p>
    <w:p w14:paraId="1ABCE7CD">
      <w:pPr>
        <w:spacing w:line="600" w:lineRule="exact"/>
        <w:ind w:firstLine="643" w:firstLineChars="200"/>
        <w:outlineLvl w:val="2"/>
        <w:rPr>
          <w:rFonts w:eastAsia="楷体_GB2312"/>
          <w:b/>
          <w:sz w:val="32"/>
          <w:szCs w:val="32"/>
        </w:rPr>
      </w:pPr>
      <w:bookmarkStart w:id="103" w:name="_Toc15377224"/>
      <w:r>
        <w:rPr>
          <w:rFonts w:eastAsia="楷体_GB2312"/>
          <w:b/>
          <w:sz w:val="32"/>
          <w:szCs w:val="32"/>
        </w:rPr>
        <w:t>（三）国有资产占有使用情况</w:t>
      </w:r>
      <w:bookmarkEnd w:id="103"/>
    </w:p>
    <w:p w14:paraId="013AE57B">
      <w:pPr>
        <w:spacing w:line="600" w:lineRule="exact"/>
        <w:ind w:firstLine="640"/>
        <w:rPr>
          <w:rFonts w:eastAsia="仿宋_GB2312"/>
          <w:sz w:val="32"/>
          <w:szCs w:val="32"/>
        </w:rPr>
      </w:pPr>
      <w:r>
        <w:rPr>
          <w:rFonts w:hAnsi="仿宋_GB2312" w:eastAsia="仿宋_GB2312"/>
          <w:sz w:val="32"/>
          <w:szCs w:val="32"/>
        </w:rPr>
        <w:t>截至</w:t>
      </w:r>
      <w:r>
        <w:rPr>
          <w:rFonts w:eastAsia="仿宋_GB2312"/>
          <w:sz w:val="32"/>
          <w:szCs w:val="32"/>
        </w:rPr>
        <w:t>2024</w:t>
      </w:r>
      <w:r>
        <w:rPr>
          <w:rFonts w:hAnsi="仿宋_GB2312" w:eastAsia="仿宋_GB2312"/>
          <w:sz w:val="32"/>
          <w:szCs w:val="32"/>
        </w:rPr>
        <w:t>年</w:t>
      </w:r>
      <w:r>
        <w:rPr>
          <w:rFonts w:eastAsia="仿宋_GB2312"/>
          <w:sz w:val="32"/>
          <w:szCs w:val="32"/>
        </w:rPr>
        <w:t>12</w:t>
      </w:r>
      <w:r>
        <w:rPr>
          <w:rFonts w:hAnsi="仿宋_GB2312" w:eastAsia="仿宋_GB2312"/>
          <w:sz w:val="32"/>
          <w:szCs w:val="32"/>
        </w:rPr>
        <w:t>月</w:t>
      </w:r>
      <w:r>
        <w:rPr>
          <w:rFonts w:eastAsia="仿宋_GB2312"/>
          <w:sz w:val="32"/>
          <w:szCs w:val="32"/>
        </w:rPr>
        <w:t>31</w:t>
      </w:r>
      <w:r>
        <w:rPr>
          <w:rFonts w:hAnsi="仿宋_GB2312" w:eastAsia="仿宋_GB2312"/>
          <w:sz w:val="32"/>
          <w:szCs w:val="32"/>
        </w:rPr>
        <w:t>日，遂宁市经济和信息化局共有车辆</w:t>
      </w:r>
      <w:r>
        <w:rPr>
          <w:rFonts w:eastAsia="仿宋_GB2312"/>
          <w:sz w:val="32"/>
          <w:szCs w:val="32"/>
        </w:rPr>
        <w:t>5</w:t>
      </w:r>
      <w:r>
        <w:rPr>
          <w:rFonts w:hAnsi="仿宋_GB2312" w:eastAsia="仿宋_GB2312"/>
          <w:sz w:val="32"/>
          <w:szCs w:val="32"/>
        </w:rPr>
        <w:t>辆，其中：机要通信用车</w:t>
      </w:r>
      <w:r>
        <w:rPr>
          <w:rFonts w:eastAsia="仿宋_GB2312"/>
          <w:sz w:val="32"/>
          <w:szCs w:val="32"/>
        </w:rPr>
        <w:t>2</w:t>
      </w:r>
      <w:r>
        <w:rPr>
          <w:rFonts w:hAnsi="仿宋_GB2312" w:eastAsia="仿宋_GB2312"/>
          <w:sz w:val="32"/>
          <w:szCs w:val="32"/>
        </w:rPr>
        <w:t>辆、应急保障用车</w:t>
      </w:r>
      <w:r>
        <w:rPr>
          <w:rFonts w:eastAsia="仿宋_GB2312"/>
          <w:sz w:val="32"/>
          <w:szCs w:val="32"/>
        </w:rPr>
        <w:t>3</w:t>
      </w:r>
      <w:r>
        <w:rPr>
          <w:rFonts w:hAnsi="仿宋_GB2312" w:eastAsia="仿宋_GB2312"/>
          <w:sz w:val="32"/>
          <w:szCs w:val="32"/>
        </w:rPr>
        <w:t>辆。单价</w:t>
      </w:r>
      <w:r>
        <w:rPr>
          <w:rFonts w:eastAsia="仿宋_GB2312"/>
          <w:sz w:val="32"/>
          <w:szCs w:val="32"/>
        </w:rPr>
        <w:t>100</w:t>
      </w:r>
      <w:r>
        <w:rPr>
          <w:rFonts w:hAnsi="仿宋_GB2312" w:eastAsia="仿宋_GB2312"/>
          <w:sz w:val="32"/>
          <w:szCs w:val="32"/>
        </w:rPr>
        <w:t>万元（含）以上设备（不含车辆）</w:t>
      </w:r>
      <w:r>
        <w:rPr>
          <w:rFonts w:eastAsia="仿宋_GB2312"/>
          <w:sz w:val="32"/>
          <w:szCs w:val="32"/>
        </w:rPr>
        <w:t>0</w:t>
      </w:r>
      <w:r>
        <w:rPr>
          <w:rFonts w:hAnsi="仿宋_GB2312" w:eastAsia="仿宋_GB2312"/>
          <w:sz w:val="32"/>
          <w:szCs w:val="32"/>
        </w:rPr>
        <w:t>台（套）</w:t>
      </w:r>
      <w:r>
        <w:rPr>
          <w:rFonts w:eastAsia="仿宋_GB2312"/>
          <w:sz w:val="32"/>
          <w:szCs w:val="32"/>
        </w:rPr>
        <w:t>。</w:t>
      </w:r>
    </w:p>
    <w:p w14:paraId="7F67D65E">
      <w:pPr>
        <w:spacing w:line="600" w:lineRule="exact"/>
        <w:ind w:firstLine="643" w:firstLineChars="200"/>
        <w:outlineLvl w:val="2"/>
        <w:rPr>
          <w:rFonts w:eastAsia="楷体_GB2312"/>
          <w:b/>
          <w:sz w:val="32"/>
          <w:szCs w:val="32"/>
        </w:rPr>
      </w:pPr>
      <w:r>
        <w:rPr>
          <w:rFonts w:eastAsia="楷体_GB2312"/>
          <w:b/>
          <w:sz w:val="32"/>
          <w:szCs w:val="32"/>
        </w:rPr>
        <w:t>（四）预算绩效管理情况</w:t>
      </w:r>
    </w:p>
    <w:p w14:paraId="27CC0EFB">
      <w:pPr>
        <w:spacing w:line="600" w:lineRule="exact"/>
        <w:ind w:firstLine="640"/>
        <w:rPr>
          <w:rFonts w:eastAsia="仿宋_GB2312"/>
          <w:sz w:val="32"/>
          <w:szCs w:val="32"/>
        </w:rPr>
      </w:pPr>
      <w:r>
        <w:rPr>
          <w:rFonts w:eastAsia="仿宋_GB2312"/>
          <w:sz w:val="32"/>
          <w:szCs w:val="32"/>
        </w:rPr>
        <w:t>根据预算绩效管理要求，本部门在2024年度预算编制阶段，组织对11个项目开展了预算事前绩效评估，对10个项目编制了绩效目标，预算执行过程中，选取10个项目开展绩效监控。</w:t>
      </w:r>
    </w:p>
    <w:p w14:paraId="05A9DCB4">
      <w:pPr>
        <w:spacing w:line="600" w:lineRule="exact"/>
        <w:ind w:firstLine="640"/>
        <w:rPr>
          <w:rFonts w:eastAsia="仿宋_GB2312"/>
          <w:b/>
          <w:bCs/>
          <w:sz w:val="32"/>
          <w:szCs w:val="32"/>
        </w:rPr>
      </w:pPr>
      <w:r>
        <w:rPr>
          <w:rFonts w:eastAsia="仿宋_GB2312"/>
          <w:sz w:val="32"/>
          <w:szCs w:val="32"/>
        </w:rPr>
        <w:t>组织对2024年度一般公共预算、政府性基金预算、国有资本经营预算、社会保险基金预算以及资本资产、债券资金等全面开展绩效自评，形成本部门整体（含部门预算项目）绩效自评报告其中，本部门整体（含部门预算项目）绩效自评得分为92.11分，绩效自评报告详见附件。</w:t>
      </w:r>
    </w:p>
    <w:p w14:paraId="26AB893E">
      <w:pPr>
        <w:spacing w:line="600" w:lineRule="exact"/>
        <w:ind w:firstLine="640"/>
        <w:rPr>
          <w:rFonts w:eastAsia="仿宋_GB2312"/>
          <w:sz w:val="32"/>
          <w:szCs w:val="32"/>
        </w:rPr>
      </w:pPr>
    </w:p>
    <w:p w14:paraId="437358B5">
      <w:pPr>
        <w:spacing w:line="600" w:lineRule="exact"/>
        <w:jc w:val="center"/>
        <w:outlineLvl w:val="0"/>
        <w:rPr>
          <w:rFonts w:eastAsia="黑体"/>
          <w:sz w:val="44"/>
          <w:szCs w:val="44"/>
        </w:rPr>
      </w:pPr>
      <w:bookmarkStart w:id="104" w:name="_Toc15377225"/>
      <w:bookmarkStart w:id="105" w:name="_Toc13342"/>
      <w:bookmarkStart w:id="106" w:name="_Toc5504"/>
      <w:bookmarkStart w:id="107" w:name="_Toc15396613"/>
      <w:r>
        <w:rPr>
          <w:rFonts w:eastAsia="黑体"/>
          <w:sz w:val="44"/>
          <w:szCs w:val="44"/>
        </w:rPr>
        <w:t>第三部分  名词解释</w:t>
      </w:r>
      <w:bookmarkEnd w:id="104"/>
      <w:bookmarkEnd w:id="105"/>
      <w:bookmarkEnd w:id="106"/>
      <w:bookmarkEnd w:id="107"/>
    </w:p>
    <w:p w14:paraId="34081B3B">
      <w:pPr>
        <w:spacing w:line="600" w:lineRule="exact"/>
        <w:jc w:val="left"/>
        <w:rPr>
          <w:b/>
          <w:sz w:val="44"/>
          <w:szCs w:val="44"/>
        </w:rPr>
      </w:pPr>
    </w:p>
    <w:p w14:paraId="6827413D">
      <w:pPr>
        <w:spacing w:line="600" w:lineRule="exact"/>
        <w:ind w:firstLine="640"/>
        <w:rPr>
          <w:rFonts w:eastAsia="仿宋_GB2312"/>
          <w:sz w:val="32"/>
          <w:szCs w:val="32"/>
        </w:rPr>
      </w:pPr>
      <w:r>
        <w:rPr>
          <w:rFonts w:eastAsia="仿宋_GB2312"/>
          <w:sz w:val="32"/>
          <w:szCs w:val="32"/>
        </w:rPr>
        <w:t>1.财政拨款收入：指单位从同级财政部门取得的财政预算资金。</w:t>
      </w:r>
    </w:p>
    <w:p w14:paraId="69B0667E">
      <w:pPr>
        <w:spacing w:line="600" w:lineRule="exact"/>
        <w:ind w:firstLine="640"/>
        <w:rPr>
          <w:rFonts w:eastAsia="仿宋_GB2312"/>
          <w:sz w:val="32"/>
          <w:szCs w:val="32"/>
        </w:rPr>
      </w:pPr>
      <w:r>
        <w:rPr>
          <w:rFonts w:eastAsia="仿宋_GB2312"/>
          <w:sz w:val="32"/>
          <w:szCs w:val="32"/>
        </w:rPr>
        <w:t>2.事业收入：指事业单位开展专业业务活动及辅助活动取得的收入。</w:t>
      </w:r>
    </w:p>
    <w:p w14:paraId="1DEC0115">
      <w:pPr>
        <w:spacing w:line="600" w:lineRule="exact"/>
        <w:ind w:firstLine="640"/>
        <w:rPr>
          <w:rFonts w:eastAsia="仿宋_GB2312"/>
          <w:sz w:val="32"/>
          <w:szCs w:val="32"/>
        </w:rPr>
      </w:pPr>
      <w:r>
        <w:rPr>
          <w:rFonts w:eastAsia="仿宋_GB2312"/>
          <w:sz w:val="32"/>
          <w:szCs w:val="32"/>
        </w:rPr>
        <w:t>3.经营收入：指事业单位在专业业务活动及其辅助活动之外开展非独立核算经营活动取得的收入。</w:t>
      </w:r>
    </w:p>
    <w:p w14:paraId="5FCBDEEA">
      <w:pPr>
        <w:spacing w:line="600" w:lineRule="exact"/>
        <w:ind w:left="319" w:leftChars="152" w:firstLine="652" w:firstLineChars="204"/>
        <w:rPr>
          <w:rFonts w:eastAsia="仿宋_GB2312"/>
          <w:sz w:val="32"/>
          <w:szCs w:val="32"/>
        </w:rPr>
      </w:pPr>
      <w:r>
        <w:rPr>
          <w:rFonts w:eastAsia="仿宋_GB2312"/>
          <w:sz w:val="32"/>
          <w:szCs w:val="32"/>
        </w:rPr>
        <w:t>4.其他收入：指单位取得的除上述收入以外的各项收入。</w:t>
      </w:r>
    </w:p>
    <w:p w14:paraId="56BFF92A">
      <w:pPr>
        <w:spacing w:line="600" w:lineRule="exact"/>
        <w:ind w:left="319" w:leftChars="152" w:firstLine="652" w:firstLineChars="204"/>
        <w:rPr>
          <w:rFonts w:eastAsia="仿宋_GB2312"/>
          <w:sz w:val="32"/>
          <w:szCs w:val="32"/>
        </w:rPr>
      </w:pPr>
      <w:r>
        <w:rPr>
          <w:rFonts w:eastAsia="仿宋_GB2312"/>
          <w:sz w:val="32"/>
          <w:szCs w:val="32"/>
        </w:rPr>
        <w:t xml:space="preserve">5.使用非财政拨款结余（含专用结余）：指事业单位使用以前年度积累的非财政拨款结余弥补当年收支差额的金额。 </w:t>
      </w:r>
    </w:p>
    <w:p w14:paraId="6FECFD19">
      <w:pPr>
        <w:spacing w:line="600" w:lineRule="exact"/>
        <w:ind w:firstLine="640"/>
        <w:rPr>
          <w:rFonts w:eastAsia="仿宋_GB2312"/>
          <w:sz w:val="32"/>
          <w:szCs w:val="32"/>
        </w:rPr>
      </w:pPr>
      <w:r>
        <w:rPr>
          <w:rFonts w:eastAsia="仿宋_GB2312"/>
          <w:sz w:val="32"/>
          <w:szCs w:val="32"/>
        </w:rPr>
        <w:t xml:space="preserve">6.年初结转和结余：指以前年度尚未完成、结转到本年按有关规定继续使用的资金。 </w:t>
      </w:r>
    </w:p>
    <w:p w14:paraId="2AB309CA">
      <w:pPr>
        <w:spacing w:line="600" w:lineRule="exact"/>
        <w:ind w:firstLine="640"/>
        <w:rPr>
          <w:rFonts w:eastAsia="仿宋_GB2312"/>
          <w:sz w:val="32"/>
          <w:szCs w:val="32"/>
        </w:rPr>
      </w:pPr>
      <w:r>
        <w:rPr>
          <w:rFonts w:eastAsia="仿宋_GB2312"/>
          <w:sz w:val="32"/>
          <w:szCs w:val="32"/>
        </w:rPr>
        <w:t>7.结余分配：指事业单位按照会计制度规定缴纳的所得税、提取的专用结余以及转入非财政拨款结余的金额等。</w:t>
      </w:r>
    </w:p>
    <w:p w14:paraId="4B8CDC26">
      <w:pPr>
        <w:spacing w:line="600" w:lineRule="exact"/>
        <w:ind w:firstLine="640"/>
        <w:rPr>
          <w:rFonts w:eastAsia="仿宋_GB2312"/>
          <w:sz w:val="32"/>
          <w:szCs w:val="32"/>
        </w:rPr>
      </w:pPr>
      <w:r>
        <w:rPr>
          <w:rFonts w:eastAsia="仿宋_GB2312"/>
          <w:sz w:val="32"/>
          <w:szCs w:val="32"/>
        </w:rPr>
        <w:t>8.年末结转和结余：指单位按有关规定结转到下年或以后年度继续使用的资金。</w:t>
      </w:r>
    </w:p>
    <w:p w14:paraId="1D7B8163">
      <w:pPr>
        <w:spacing w:line="600" w:lineRule="exact"/>
        <w:ind w:firstLine="640"/>
        <w:rPr>
          <w:rFonts w:eastAsia="仿宋_GB2312"/>
          <w:sz w:val="32"/>
          <w:szCs w:val="32"/>
        </w:rPr>
      </w:pPr>
      <w:r>
        <w:rPr>
          <w:rFonts w:eastAsia="仿宋_GB2312"/>
          <w:sz w:val="32"/>
          <w:szCs w:val="32"/>
        </w:rPr>
        <w:t>9.基本支出：指为保障机构正常运转、完成日常工作任务而发生的人员支出和公用支出。</w:t>
      </w:r>
    </w:p>
    <w:p w14:paraId="7C3341A7">
      <w:pPr>
        <w:spacing w:line="600" w:lineRule="exact"/>
        <w:ind w:firstLine="640"/>
        <w:rPr>
          <w:rFonts w:eastAsia="仿宋_GB2312"/>
          <w:sz w:val="32"/>
          <w:szCs w:val="32"/>
        </w:rPr>
      </w:pPr>
      <w:r>
        <w:rPr>
          <w:rFonts w:eastAsia="仿宋_GB2312"/>
          <w:sz w:val="32"/>
          <w:szCs w:val="32"/>
        </w:rPr>
        <w:t xml:space="preserve">10.项目支出：指在基本支出之外为完成特定行政任务和事业发展目标所发生的支出。 </w:t>
      </w:r>
    </w:p>
    <w:p w14:paraId="10A6CE31">
      <w:pPr>
        <w:spacing w:line="600" w:lineRule="exact"/>
        <w:ind w:firstLine="640"/>
        <w:rPr>
          <w:rFonts w:eastAsia="仿宋_GB2312"/>
          <w:sz w:val="32"/>
          <w:szCs w:val="32"/>
        </w:rPr>
      </w:pPr>
      <w:r>
        <w:rPr>
          <w:rFonts w:eastAsia="仿宋_GB2312"/>
          <w:sz w:val="32"/>
          <w:szCs w:val="32"/>
        </w:rPr>
        <w:t>11.经营支出：指事业单位在专业业务活动及其辅助活动之外开展非独立核算经营活动发生的支出。</w:t>
      </w:r>
    </w:p>
    <w:p w14:paraId="67DC294C">
      <w:pPr>
        <w:spacing w:line="600" w:lineRule="exact"/>
        <w:ind w:firstLine="640"/>
        <w:rPr>
          <w:rFonts w:eastAsia="仿宋_GB2312"/>
          <w:sz w:val="32"/>
          <w:szCs w:val="32"/>
        </w:rPr>
      </w:pPr>
      <w:r>
        <w:rPr>
          <w:rFonts w:eastAsia="仿宋_GB2312"/>
          <w:sz w:val="32"/>
          <w:szCs w:val="32"/>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B8E07B">
      <w:pPr>
        <w:spacing w:line="600" w:lineRule="exact"/>
        <w:ind w:firstLine="640"/>
        <w:rPr>
          <w:rFonts w:eastAsia="仿宋_GB2312"/>
          <w:sz w:val="32"/>
          <w:szCs w:val="32"/>
        </w:rPr>
      </w:pPr>
      <w:r>
        <w:rPr>
          <w:rFonts w:eastAsia="仿宋_GB2312"/>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CFED52">
      <w:pPr>
        <w:spacing w:line="600" w:lineRule="exact"/>
        <w:jc w:val="center"/>
        <w:outlineLvl w:val="0"/>
        <w:rPr>
          <w:rStyle w:val="33"/>
          <w:rFonts w:eastAsia="黑体"/>
          <w:b w:val="0"/>
        </w:rPr>
      </w:pPr>
      <w:bookmarkStart w:id="108" w:name="_Toc15377226"/>
      <w:r>
        <w:rPr>
          <w:rFonts w:eastAsia="仿宋_GB2312"/>
          <w:sz w:val="32"/>
          <w:szCs w:val="32"/>
        </w:rPr>
        <w:br w:type="page"/>
      </w:r>
      <w:bookmarkStart w:id="109" w:name="_Toc8069"/>
      <w:bookmarkStart w:id="110" w:name="_Toc12771"/>
      <w:bookmarkStart w:id="111" w:name="_Toc15396614"/>
      <w:r>
        <w:rPr>
          <w:rFonts w:eastAsia="黑体"/>
          <w:sz w:val="44"/>
          <w:szCs w:val="44"/>
        </w:rPr>
        <w:t>第四部分  附件</w:t>
      </w:r>
      <w:bookmarkEnd w:id="109"/>
      <w:bookmarkEnd w:id="110"/>
      <w:bookmarkEnd w:id="111"/>
    </w:p>
    <w:p w14:paraId="5C9DC0AC">
      <w:pPr>
        <w:spacing w:line="572" w:lineRule="exact"/>
        <w:jc w:val="left"/>
        <w:rPr>
          <w:rFonts w:eastAsia="黑体"/>
          <w:color w:val="FF0000"/>
          <w:sz w:val="32"/>
          <w:szCs w:val="32"/>
        </w:rPr>
      </w:pPr>
    </w:p>
    <w:p w14:paraId="125D14C0">
      <w:pPr>
        <w:spacing w:line="572" w:lineRule="exact"/>
        <w:jc w:val="left"/>
        <w:outlineLvl w:val="0"/>
        <w:rPr>
          <w:rFonts w:eastAsia="黑体"/>
          <w:sz w:val="44"/>
          <w:szCs w:val="44"/>
        </w:rPr>
      </w:pPr>
      <w:bookmarkStart w:id="112" w:name="_Toc24852"/>
      <w:bookmarkStart w:id="113" w:name="_Toc31260"/>
      <w:r>
        <w:rPr>
          <w:rFonts w:eastAsia="黑体"/>
          <w:sz w:val="32"/>
          <w:szCs w:val="32"/>
        </w:rPr>
        <w:t>附件1</w:t>
      </w:r>
      <w:bookmarkEnd w:id="112"/>
      <w:bookmarkEnd w:id="113"/>
    </w:p>
    <w:p w14:paraId="614319B3">
      <w:pPr>
        <w:widowControl/>
        <w:spacing w:line="578" w:lineRule="exact"/>
        <w:contextualSpacing/>
        <w:rPr>
          <w:b/>
          <w:sz w:val="44"/>
          <w:szCs w:val="44"/>
          <w:shd w:val="clear" w:color="auto" w:fill="FFFFFF"/>
        </w:rPr>
      </w:pPr>
    </w:p>
    <w:p w14:paraId="5FB9F318">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部门整体支出自评报告范本</w:t>
      </w:r>
    </w:p>
    <w:p w14:paraId="20D4D0A1">
      <w:pPr>
        <w:widowControl/>
        <w:spacing w:line="578" w:lineRule="exact"/>
        <w:contextualSpacing/>
        <w:jc w:val="center"/>
        <w:rPr>
          <w:szCs w:val="32"/>
          <w:shd w:val="clear" w:color="auto" w:fill="FFFFFF"/>
        </w:rPr>
      </w:pPr>
    </w:p>
    <w:p w14:paraId="715AE3B1">
      <w:pPr>
        <w:widowControl/>
        <w:spacing w:line="590" w:lineRule="exact"/>
        <w:ind w:firstLine="660" w:firstLineChars="200"/>
        <w:contextualSpacing/>
        <w:rPr>
          <w:rFonts w:eastAsia="黑体"/>
          <w:color w:val="000000"/>
          <w:kern w:val="0"/>
          <w:sz w:val="33"/>
          <w:szCs w:val="33"/>
          <w:shd w:val="clear" w:color="auto" w:fill="FFFFFF"/>
        </w:rPr>
      </w:pPr>
    </w:p>
    <w:p w14:paraId="28EACB4C">
      <w:pPr>
        <w:widowControl/>
        <w:spacing w:line="590" w:lineRule="exact"/>
        <w:ind w:firstLine="640" w:firstLineChars="200"/>
        <w:contextualSpacing/>
        <w:rPr>
          <w:rFonts w:ascii="黑体" w:hAnsi="黑体" w:eastAsia="黑体"/>
          <w:sz w:val="32"/>
          <w:szCs w:val="32"/>
        </w:rPr>
      </w:pPr>
      <w:r>
        <w:rPr>
          <w:rFonts w:ascii="黑体" w:hAnsi="黑体" w:eastAsia="黑体"/>
          <w:color w:val="000000"/>
          <w:kern w:val="0"/>
          <w:sz w:val="32"/>
          <w:szCs w:val="32"/>
          <w:shd w:val="clear" w:color="auto" w:fill="FFFFFF"/>
          <w:lang w:val="zh-CN"/>
        </w:rPr>
        <w:t>一、部门（单位）基本情况</w:t>
      </w:r>
    </w:p>
    <w:p w14:paraId="25350D7D">
      <w:pPr>
        <w:widowControl/>
        <w:spacing w:line="590" w:lineRule="exact"/>
        <w:ind w:firstLine="562" w:firstLineChars="200"/>
        <w:contextualSpacing/>
        <w:rPr>
          <w:rFonts w:eastAsia="仿宋_GB2312"/>
          <w:sz w:val="28"/>
          <w:szCs w:val="28"/>
        </w:rPr>
      </w:pPr>
      <w:r>
        <w:rPr>
          <w:rFonts w:hAnsi="仿宋_GB2312" w:eastAsia="仿宋_GB2312"/>
          <w:b/>
          <w:bCs/>
          <w:color w:val="000000"/>
          <w:kern w:val="0"/>
          <w:sz w:val="28"/>
          <w:szCs w:val="28"/>
          <w:shd w:val="clear" w:color="auto" w:fill="FFFFFF"/>
          <w:lang w:val="zh-CN"/>
        </w:rPr>
        <w:t>（一）机构组成。</w:t>
      </w:r>
      <w:r>
        <w:rPr>
          <w:rFonts w:hAnsi="仿宋_GB2312" w:eastAsia="仿宋_GB2312"/>
          <w:sz w:val="28"/>
          <w:szCs w:val="28"/>
        </w:rPr>
        <w:t>市经济和信息化局内设机构</w:t>
      </w:r>
      <w:r>
        <w:rPr>
          <w:rFonts w:eastAsia="仿宋_GB2312"/>
          <w:sz w:val="28"/>
          <w:szCs w:val="28"/>
        </w:rPr>
        <w:t>16</w:t>
      </w:r>
      <w:r>
        <w:rPr>
          <w:rFonts w:hAnsi="仿宋_GB2312" w:eastAsia="仿宋_GB2312"/>
          <w:sz w:val="28"/>
          <w:szCs w:val="28"/>
        </w:rPr>
        <w:t>个</w:t>
      </w:r>
      <w:r>
        <w:rPr>
          <w:rFonts w:eastAsia="仿宋_GB2312"/>
          <w:sz w:val="28"/>
          <w:szCs w:val="28"/>
        </w:rPr>
        <w:t>(</w:t>
      </w:r>
      <w:r>
        <w:rPr>
          <w:rFonts w:hAnsi="仿宋_GB2312" w:eastAsia="仿宋_GB2312"/>
          <w:sz w:val="28"/>
          <w:szCs w:val="28"/>
        </w:rPr>
        <w:t>不含市委军民融合发展办秘书科、机关党委办公室</w:t>
      </w:r>
      <w:r>
        <w:rPr>
          <w:rFonts w:eastAsia="仿宋_GB2312"/>
          <w:sz w:val="28"/>
          <w:szCs w:val="28"/>
        </w:rPr>
        <w:t>)</w:t>
      </w:r>
      <w:r>
        <w:rPr>
          <w:rFonts w:hAnsi="仿宋_GB2312" w:eastAsia="仿宋_GB2312"/>
          <w:sz w:val="28"/>
          <w:szCs w:val="28"/>
        </w:rPr>
        <w:t>，分别是：办公室</w:t>
      </w:r>
      <w:r>
        <w:rPr>
          <w:rFonts w:eastAsia="仿宋_GB2312"/>
          <w:sz w:val="28"/>
          <w:szCs w:val="28"/>
        </w:rPr>
        <w:t>(</w:t>
      </w:r>
      <w:r>
        <w:rPr>
          <w:rFonts w:hAnsi="仿宋_GB2312" w:eastAsia="仿宋_GB2312"/>
          <w:sz w:val="28"/>
          <w:szCs w:val="28"/>
        </w:rPr>
        <w:t>行政审批科</w:t>
      </w:r>
      <w:r>
        <w:rPr>
          <w:rFonts w:eastAsia="仿宋_GB2312"/>
          <w:sz w:val="28"/>
          <w:szCs w:val="28"/>
        </w:rPr>
        <w:t>)</w:t>
      </w:r>
      <w:r>
        <w:rPr>
          <w:rFonts w:hAnsi="仿宋_GB2312" w:eastAsia="仿宋_GB2312"/>
          <w:sz w:val="28"/>
          <w:szCs w:val="28"/>
        </w:rPr>
        <w:t>、综合科、运行保障科、产业园区科、技术改造与创新科、环境和资源综合利用科、民营经济发展促进科、创业促进与服务体系科、信息化科、电子与新兴产业科、机械与装备科、锂电及新材料产业科、食品与盐业科、轻纺化工科、无线电监督管理科</w:t>
      </w:r>
      <w:r>
        <w:rPr>
          <w:rFonts w:eastAsia="仿宋_GB2312"/>
          <w:sz w:val="28"/>
          <w:szCs w:val="28"/>
        </w:rPr>
        <w:t>(</w:t>
      </w:r>
      <w:r>
        <w:rPr>
          <w:rFonts w:hAnsi="仿宋_GB2312" w:eastAsia="仿宋_GB2312"/>
          <w:sz w:val="28"/>
          <w:szCs w:val="28"/>
        </w:rPr>
        <w:t>四川省经济和信息化厅遂宁市无线电管理办公室</w:t>
      </w:r>
      <w:r>
        <w:rPr>
          <w:rFonts w:eastAsia="仿宋_GB2312"/>
          <w:sz w:val="28"/>
          <w:szCs w:val="28"/>
        </w:rPr>
        <w:t>)</w:t>
      </w:r>
      <w:r>
        <w:rPr>
          <w:rFonts w:hAnsi="仿宋_GB2312" w:eastAsia="仿宋_GB2312"/>
          <w:sz w:val="28"/>
          <w:szCs w:val="28"/>
        </w:rPr>
        <w:t>、人事培训科。</w:t>
      </w:r>
    </w:p>
    <w:p w14:paraId="33F1A5F8">
      <w:pPr>
        <w:widowControl/>
        <w:spacing w:line="590" w:lineRule="exact"/>
        <w:ind w:firstLine="562" w:firstLineChars="200"/>
        <w:contextualSpacing/>
        <w:rPr>
          <w:rFonts w:eastAsia="仿宋_GB2312"/>
          <w:b/>
          <w:bCs/>
          <w:color w:val="000000"/>
          <w:kern w:val="0"/>
          <w:sz w:val="28"/>
          <w:szCs w:val="28"/>
          <w:shd w:val="clear" w:color="auto" w:fill="FFFFFF"/>
          <w:lang w:val="zh-CN"/>
        </w:rPr>
      </w:pPr>
      <w:r>
        <w:rPr>
          <w:rFonts w:hAnsi="仿宋_GB2312" w:eastAsia="仿宋_GB2312"/>
          <w:b/>
          <w:bCs/>
          <w:color w:val="000000"/>
          <w:kern w:val="0"/>
          <w:sz w:val="28"/>
          <w:szCs w:val="28"/>
          <w:shd w:val="clear" w:color="auto" w:fill="FFFFFF"/>
          <w:lang w:val="zh-CN"/>
        </w:rPr>
        <w:t>（二）机构职能。</w:t>
      </w:r>
      <w:r>
        <w:rPr>
          <w:rFonts w:hAnsi="仿宋_GB2312" w:eastAsia="仿宋_GB2312"/>
          <w:bCs/>
          <w:sz w:val="28"/>
          <w:szCs w:val="28"/>
        </w:rPr>
        <w:t>现主要负责</w:t>
      </w:r>
      <w:r>
        <w:rPr>
          <w:rFonts w:hAnsi="仿宋_GB2312" w:eastAsia="仿宋_GB2312"/>
          <w:sz w:val="28"/>
          <w:szCs w:val="28"/>
        </w:rPr>
        <w:t>贯彻执行国家和省有关工业经济、信息化和无线电管理的方针政策和法律法规，拟订并组织实施全市工业经济、信息化和无线电管理的发展战略、规划和政策措施，指导工业产业结构调整和优化升级，监测分析工业经济运行态势，协调解决工业经济运行中的重大问题等工作。</w:t>
      </w:r>
    </w:p>
    <w:p w14:paraId="59CC1672">
      <w:pPr>
        <w:spacing w:line="560" w:lineRule="exact"/>
        <w:ind w:firstLine="562" w:firstLineChars="200"/>
        <w:rPr>
          <w:rFonts w:eastAsia="仿宋_GB2312"/>
          <w:sz w:val="28"/>
          <w:szCs w:val="28"/>
        </w:rPr>
      </w:pPr>
      <w:r>
        <w:rPr>
          <w:rFonts w:hAnsi="仿宋_GB2312" w:eastAsia="仿宋_GB2312"/>
          <w:b/>
          <w:bCs/>
          <w:color w:val="000000"/>
          <w:kern w:val="0"/>
          <w:sz w:val="28"/>
          <w:szCs w:val="28"/>
          <w:shd w:val="clear" w:color="auto" w:fill="FFFFFF"/>
          <w:lang w:val="zh-CN"/>
        </w:rPr>
        <w:t>（三）人员概况。</w:t>
      </w:r>
      <w:r>
        <w:rPr>
          <w:rFonts w:hAnsi="仿宋_GB2312" w:eastAsia="仿宋_GB2312"/>
          <w:sz w:val="28"/>
          <w:szCs w:val="28"/>
        </w:rPr>
        <w:t>截至</w:t>
      </w:r>
      <w:r>
        <w:rPr>
          <w:rFonts w:eastAsia="仿宋_GB2312"/>
          <w:sz w:val="28"/>
          <w:szCs w:val="28"/>
        </w:rPr>
        <w:t>2024</w:t>
      </w:r>
      <w:r>
        <w:rPr>
          <w:rFonts w:hAnsi="仿宋_GB2312" w:eastAsia="仿宋_GB2312"/>
          <w:sz w:val="28"/>
          <w:szCs w:val="28"/>
        </w:rPr>
        <w:t>年末，市经济和信息化局及下属单位编制情况及年末实有人数情况如下：</w:t>
      </w:r>
    </w:p>
    <w:p w14:paraId="49A338C1">
      <w:pPr>
        <w:spacing w:line="560" w:lineRule="exact"/>
        <w:ind w:firstLine="560" w:firstLineChars="200"/>
        <w:rPr>
          <w:rFonts w:eastAsia="仿宋_GB2312"/>
          <w:bCs/>
          <w:sz w:val="28"/>
          <w:szCs w:val="28"/>
        </w:rPr>
      </w:pPr>
      <w:r>
        <w:rPr>
          <w:rFonts w:hAnsi="仿宋_GB2312" w:eastAsia="仿宋_GB2312"/>
          <w:bCs/>
          <w:sz w:val="28"/>
          <w:szCs w:val="28"/>
        </w:rPr>
        <w:t>（一）局机关</w:t>
      </w:r>
    </w:p>
    <w:p w14:paraId="3EB6960A">
      <w:pPr>
        <w:spacing w:line="560" w:lineRule="exact"/>
        <w:ind w:firstLine="560" w:firstLineChars="200"/>
        <w:rPr>
          <w:rFonts w:eastAsia="仿宋_GB2312"/>
          <w:bCs/>
          <w:sz w:val="28"/>
          <w:szCs w:val="28"/>
        </w:rPr>
      </w:pPr>
      <w:r>
        <w:rPr>
          <w:rFonts w:hAnsi="仿宋_GB2312" w:eastAsia="仿宋_GB2312"/>
          <w:bCs/>
          <w:sz w:val="28"/>
          <w:szCs w:val="28"/>
        </w:rPr>
        <w:t>局机关核定行政编制</w:t>
      </w:r>
      <w:r>
        <w:rPr>
          <w:rFonts w:eastAsia="仿宋_GB2312"/>
          <w:bCs/>
          <w:sz w:val="28"/>
          <w:szCs w:val="28"/>
        </w:rPr>
        <w:t>55</w:t>
      </w:r>
      <w:r>
        <w:rPr>
          <w:rFonts w:hAnsi="仿宋_GB2312" w:eastAsia="仿宋_GB2312"/>
          <w:bCs/>
          <w:sz w:val="28"/>
          <w:szCs w:val="28"/>
        </w:rPr>
        <w:t>个，设局长</w:t>
      </w:r>
      <w:r>
        <w:rPr>
          <w:rFonts w:eastAsia="仿宋_GB2312"/>
          <w:bCs/>
          <w:sz w:val="28"/>
          <w:szCs w:val="28"/>
        </w:rPr>
        <w:t>1</w:t>
      </w:r>
      <w:r>
        <w:rPr>
          <w:rFonts w:hAnsi="仿宋_GB2312" w:eastAsia="仿宋_GB2312"/>
          <w:bCs/>
          <w:sz w:val="28"/>
          <w:szCs w:val="28"/>
        </w:rPr>
        <w:t>名，副局长</w:t>
      </w:r>
      <w:r>
        <w:rPr>
          <w:rFonts w:eastAsia="仿宋_GB2312"/>
          <w:bCs/>
          <w:sz w:val="28"/>
          <w:szCs w:val="28"/>
        </w:rPr>
        <w:t>4</w:t>
      </w:r>
      <w:r>
        <w:rPr>
          <w:rFonts w:hAnsi="仿宋_GB2312" w:eastAsia="仿宋_GB2312"/>
          <w:bCs/>
          <w:sz w:val="28"/>
          <w:szCs w:val="28"/>
        </w:rPr>
        <w:t>名；正科科级领导职数</w:t>
      </w:r>
      <w:r>
        <w:rPr>
          <w:rFonts w:eastAsia="仿宋_GB2312"/>
          <w:bCs/>
          <w:sz w:val="28"/>
          <w:szCs w:val="28"/>
        </w:rPr>
        <w:t>19</w:t>
      </w:r>
      <w:r>
        <w:rPr>
          <w:rFonts w:hAnsi="仿宋_GB2312" w:eastAsia="仿宋_GB2312"/>
          <w:bCs/>
          <w:sz w:val="28"/>
          <w:szCs w:val="28"/>
        </w:rPr>
        <w:t>名（含总经济师</w:t>
      </w:r>
      <w:r>
        <w:rPr>
          <w:rFonts w:eastAsia="仿宋_GB2312"/>
          <w:bCs/>
          <w:sz w:val="28"/>
          <w:szCs w:val="28"/>
        </w:rPr>
        <w:t>1</w:t>
      </w:r>
      <w:r>
        <w:rPr>
          <w:rFonts w:hAnsi="仿宋_GB2312" w:eastAsia="仿宋_GB2312"/>
          <w:bCs/>
          <w:sz w:val="28"/>
          <w:szCs w:val="28"/>
        </w:rPr>
        <w:t>名，市委军民融合发展办秘书科科长</w:t>
      </w:r>
      <w:r>
        <w:rPr>
          <w:rFonts w:eastAsia="仿宋_GB2312"/>
          <w:bCs/>
          <w:sz w:val="28"/>
          <w:szCs w:val="28"/>
        </w:rPr>
        <w:t>1</w:t>
      </w:r>
      <w:r>
        <w:rPr>
          <w:rFonts w:hAnsi="仿宋_GB2312" w:eastAsia="仿宋_GB2312"/>
          <w:bCs/>
          <w:sz w:val="28"/>
          <w:szCs w:val="28"/>
        </w:rPr>
        <w:t>名，机关党委专职副书记</w:t>
      </w:r>
      <w:r>
        <w:rPr>
          <w:rFonts w:eastAsia="仿宋_GB2312"/>
          <w:bCs/>
          <w:sz w:val="28"/>
          <w:szCs w:val="28"/>
        </w:rPr>
        <w:t>1</w:t>
      </w:r>
      <w:r>
        <w:rPr>
          <w:rFonts w:hAnsi="仿宋_GB2312" w:eastAsia="仿宋_GB2312"/>
          <w:bCs/>
          <w:sz w:val="28"/>
          <w:szCs w:val="28"/>
        </w:rPr>
        <w:t>名），副科级领导职数</w:t>
      </w:r>
      <w:r>
        <w:rPr>
          <w:rFonts w:eastAsia="仿宋_GB2312"/>
          <w:bCs/>
          <w:sz w:val="28"/>
          <w:szCs w:val="28"/>
        </w:rPr>
        <w:t>12</w:t>
      </w:r>
      <w:r>
        <w:rPr>
          <w:rFonts w:hAnsi="仿宋_GB2312" w:eastAsia="仿宋_GB2312"/>
          <w:bCs/>
          <w:sz w:val="28"/>
          <w:szCs w:val="28"/>
        </w:rPr>
        <w:t>名。截止</w:t>
      </w:r>
      <w:r>
        <w:rPr>
          <w:rFonts w:eastAsia="仿宋_GB2312"/>
          <w:bCs/>
          <w:sz w:val="28"/>
          <w:szCs w:val="28"/>
        </w:rPr>
        <w:t>2024</w:t>
      </w:r>
      <w:r>
        <w:rPr>
          <w:rFonts w:hAnsi="仿宋_GB2312" w:eastAsia="仿宋_GB2312"/>
          <w:bCs/>
          <w:sz w:val="28"/>
          <w:szCs w:val="28"/>
        </w:rPr>
        <w:t>年底，局机关有</w:t>
      </w:r>
      <w:r>
        <w:rPr>
          <w:rFonts w:eastAsia="仿宋_GB2312"/>
          <w:bCs/>
          <w:sz w:val="28"/>
          <w:szCs w:val="28"/>
        </w:rPr>
        <w:t>53</w:t>
      </w:r>
      <w:r>
        <w:rPr>
          <w:rFonts w:hAnsi="仿宋_GB2312" w:eastAsia="仿宋_GB2312"/>
          <w:bCs/>
          <w:sz w:val="28"/>
          <w:szCs w:val="28"/>
        </w:rPr>
        <w:t>名。有离退休人员</w:t>
      </w:r>
      <w:r>
        <w:rPr>
          <w:rFonts w:eastAsia="仿宋_GB2312"/>
          <w:bCs/>
          <w:sz w:val="28"/>
          <w:szCs w:val="28"/>
        </w:rPr>
        <w:t>133</w:t>
      </w:r>
      <w:r>
        <w:rPr>
          <w:rFonts w:hAnsi="仿宋_GB2312" w:eastAsia="仿宋_GB2312"/>
          <w:bCs/>
          <w:sz w:val="28"/>
          <w:szCs w:val="28"/>
        </w:rPr>
        <w:t>名。</w:t>
      </w:r>
    </w:p>
    <w:p w14:paraId="7FC52CF0">
      <w:pPr>
        <w:spacing w:line="560" w:lineRule="exact"/>
        <w:ind w:firstLine="560" w:firstLineChars="200"/>
        <w:rPr>
          <w:rFonts w:eastAsia="仿宋_GB2312"/>
          <w:bCs/>
          <w:sz w:val="28"/>
          <w:szCs w:val="28"/>
        </w:rPr>
      </w:pPr>
      <w:r>
        <w:rPr>
          <w:rFonts w:hAnsi="仿宋_GB2312" w:eastAsia="仿宋_GB2312"/>
          <w:bCs/>
          <w:sz w:val="28"/>
          <w:szCs w:val="28"/>
        </w:rPr>
        <w:t>（二）下属事业单位</w:t>
      </w:r>
    </w:p>
    <w:p w14:paraId="4758E9BD">
      <w:pPr>
        <w:spacing w:line="560" w:lineRule="exact"/>
        <w:ind w:firstLine="560" w:firstLineChars="200"/>
        <w:rPr>
          <w:rFonts w:eastAsia="仿宋_GB2312"/>
          <w:sz w:val="28"/>
          <w:szCs w:val="28"/>
        </w:rPr>
      </w:pPr>
      <w:r>
        <w:rPr>
          <w:rFonts w:hAnsi="仿宋_GB2312" w:eastAsia="仿宋_GB2312"/>
          <w:bCs/>
          <w:sz w:val="28"/>
          <w:szCs w:val="28"/>
        </w:rPr>
        <w:t>下设市工业经济发展中心、市无线电监测站</w:t>
      </w:r>
      <w:r>
        <w:rPr>
          <w:rFonts w:eastAsia="仿宋_GB2312"/>
          <w:bCs/>
          <w:sz w:val="28"/>
          <w:szCs w:val="28"/>
        </w:rPr>
        <w:t>2</w:t>
      </w:r>
      <w:r>
        <w:rPr>
          <w:rFonts w:hAnsi="仿宋_GB2312" w:eastAsia="仿宋_GB2312"/>
          <w:bCs/>
          <w:sz w:val="28"/>
          <w:szCs w:val="28"/>
        </w:rPr>
        <w:t>个公益一类正科级事业单位。核定事业编制</w:t>
      </w:r>
      <w:r>
        <w:rPr>
          <w:rFonts w:eastAsia="仿宋_GB2312"/>
          <w:bCs/>
          <w:sz w:val="28"/>
          <w:szCs w:val="28"/>
        </w:rPr>
        <w:t>19</w:t>
      </w:r>
      <w:r>
        <w:rPr>
          <w:rFonts w:hAnsi="仿宋_GB2312" w:eastAsia="仿宋_GB2312"/>
          <w:bCs/>
          <w:sz w:val="28"/>
          <w:szCs w:val="28"/>
        </w:rPr>
        <w:t>名，现有职工</w:t>
      </w:r>
      <w:r>
        <w:rPr>
          <w:rFonts w:eastAsia="仿宋_GB2312"/>
          <w:bCs/>
          <w:sz w:val="28"/>
          <w:szCs w:val="28"/>
        </w:rPr>
        <w:t>16</w:t>
      </w:r>
      <w:r>
        <w:rPr>
          <w:rFonts w:hAnsi="仿宋_GB2312" w:eastAsia="仿宋_GB2312"/>
          <w:bCs/>
          <w:sz w:val="28"/>
          <w:szCs w:val="28"/>
        </w:rPr>
        <w:t>名。主要承担全市工业经济发展政策宣传、信息咨询、技术支持和协调服务等事务性工作；市无线电监测站，核定事业编制</w:t>
      </w:r>
      <w:r>
        <w:rPr>
          <w:rFonts w:eastAsia="仿宋_GB2312"/>
          <w:bCs/>
          <w:sz w:val="28"/>
          <w:szCs w:val="28"/>
        </w:rPr>
        <w:t>5</w:t>
      </w:r>
      <w:r>
        <w:rPr>
          <w:rFonts w:hAnsi="仿宋_GB2312" w:eastAsia="仿宋_GB2312"/>
          <w:bCs/>
          <w:sz w:val="28"/>
          <w:szCs w:val="28"/>
        </w:rPr>
        <w:t>名，现有职工</w:t>
      </w:r>
      <w:r>
        <w:rPr>
          <w:rFonts w:eastAsia="仿宋_GB2312"/>
          <w:bCs/>
          <w:sz w:val="28"/>
          <w:szCs w:val="28"/>
        </w:rPr>
        <w:t>5</w:t>
      </w:r>
      <w:r>
        <w:rPr>
          <w:rFonts w:hAnsi="仿宋_GB2312" w:eastAsia="仿宋_GB2312"/>
          <w:bCs/>
          <w:sz w:val="28"/>
          <w:szCs w:val="28"/>
        </w:rPr>
        <w:t>名。主要负责监测全市设置、使用的无线电台站信号；查找无线电干扰源及非法无线电信号；测定无线电设备的主要技术指标；检测工、科、医等非无线电设备的无线电波辐射；进行电磁环境测试和分析。</w:t>
      </w:r>
    </w:p>
    <w:p w14:paraId="547FE6BC">
      <w:pPr>
        <w:widowControl/>
        <w:spacing w:line="590" w:lineRule="exact"/>
        <w:ind w:firstLine="640" w:firstLineChars="200"/>
        <w:contextualSpacing/>
        <w:rPr>
          <w:rFonts w:ascii="黑体" w:hAnsi="黑体" w:eastAsia="黑体"/>
          <w:color w:val="000000"/>
          <w:kern w:val="0"/>
          <w:sz w:val="32"/>
          <w:szCs w:val="32"/>
          <w:shd w:val="clear" w:color="auto" w:fill="FFFFFF"/>
        </w:rPr>
      </w:pPr>
      <w:r>
        <w:rPr>
          <w:rFonts w:ascii="黑体" w:hAnsi="黑体" w:eastAsia="黑体"/>
          <w:color w:val="000000"/>
          <w:kern w:val="0"/>
          <w:sz w:val="32"/>
          <w:szCs w:val="32"/>
          <w:shd w:val="clear" w:color="auto" w:fill="FFFFFF"/>
        </w:rPr>
        <w:t>二、部门资金收支情况</w:t>
      </w:r>
    </w:p>
    <w:p w14:paraId="58832450">
      <w:pPr>
        <w:spacing w:line="590" w:lineRule="exact"/>
        <w:ind w:firstLine="562" w:firstLineChars="200"/>
        <w:contextualSpacing/>
        <w:rPr>
          <w:rFonts w:eastAsia="仿宋_GB2312"/>
          <w:spacing w:val="8"/>
          <w:sz w:val="28"/>
          <w:szCs w:val="28"/>
        </w:rPr>
      </w:pPr>
      <w:r>
        <w:rPr>
          <w:rFonts w:hAnsi="仿宋_GB2312" w:eastAsia="仿宋_GB2312"/>
          <w:b/>
          <w:bCs/>
          <w:color w:val="000000"/>
          <w:kern w:val="0"/>
          <w:sz w:val="28"/>
          <w:szCs w:val="28"/>
          <w:shd w:val="clear" w:color="auto" w:fill="FFFFFF"/>
          <w:lang w:val="zh-CN"/>
        </w:rPr>
        <w:t>（一）收入情况。</w:t>
      </w:r>
      <w:r>
        <w:rPr>
          <w:rFonts w:hAnsi="仿宋_GB2312" w:eastAsia="仿宋_GB2312"/>
          <w:sz w:val="28"/>
          <w:szCs w:val="28"/>
        </w:rPr>
        <w:t>遂宁市经济和信息化局</w:t>
      </w:r>
      <w:r>
        <w:rPr>
          <w:rFonts w:eastAsia="仿宋_GB2312"/>
          <w:spacing w:val="8"/>
          <w:sz w:val="28"/>
          <w:szCs w:val="28"/>
        </w:rPr>
        <w:t>2024</w:t>
      </w:r>
      <w:r>
        <w:rPr>
          <w:rFonts w:hAnsi="仿宋_GB2312" w:eastAsia="仿宋_GB2312"/>
          <w:spacing w:val="8"/>
          <w:sz w:val="28"/>
          <w:szCs w:val="28"/>
        </w:rPr>
        <w:t>年年初预算</w:t>
      </w:r>
      <w:r>
        <w:rPr>
          <w:rFonts w:eastAsia="仿宋_GB2312"/>
          <w:spacing w:val="8"/>
          <w:sz w:val="28"/>
          <w:szCs w:val="28"/>
        </w:rPr>
        <w:t>1901.9</w:t>
      </w:r>
      <w:r>
        <w:rPr>
          <w:rFonts w:hAnsi="仿宋_GB2312" w:eastAsia="仿宋_GB2312"/>
          <w:spacing w:val="8"/>
          <w:sz w:val="28"/>
          <w:szCs w:val="28"/>
        </w:rPr>
        <w:t>万元，中期调增</w:t>
      </w:r>
      <w:r>
        <w:rPr>
          <w:rFonts w:eastAsia="仿宋_GB2312"/>
          <w:spacing w:val="8"/>
          <w:sz w:val="28"/>
          <w:szCs w:val="28"/>
        </w:rPr>
        <w:t>1038.03</w:t>
      </w:r>
      <w:r>
        <w:rPr>
          <w:rFonts w:hAnsi="仿宋_GB2312" w:eastAsia="仿宋_GB2312"/>
          <w:spacing w:val="8"/>
          <w:sz w:val="28"/>
          <w:szCs w:val="28"/>
        </w:rPr>
        <w:t>万元，其他收入</w:t>
      </w:r>
      <w:r>
        <w:rPr>
          <w:rFonts w:eastAsia="仿宋_GB2312"/>
          <w:spacing w:val="8"/>
          <w:sz w:val="28"/>
          <w:szCs w:val="28"/>
        </w:rPr>
        <w:t>126</w:t>
      </w:r>
      <w:r>
        <w:rPr>
          <w:rFonts w:hAnsi="仿宋_GB2312" w:eastAsia="仿宋_GB2312"/>
          <w:spacing w:val="8"/>
          <w:sz w:val="28"/>
          <w:szCs w:val="28"/>
        </w:rPr>
        <w:t>万元，收入总额为</w:t>
      </w:r>
      <w:r>
        <w:rPr>
          <w:rFonts w:eastAsia="仿宋_GB2312"/>
          <w:spacing w:val="8"/>
          <w:sz w:val="28"/>
          <w:szCs w:val="28"/>
        </w:rPr>
        <w:t>3065.93</w:t>
      </w:r>
      <w:r>
        <w:rPr>
          <w:rFonts w:hAnsi="仿宋_GB2312" w:eastAsia="仿宋_GB2312"/>
          <w:spacing w:val="8"/>
          <w:sz w:val="28"/>
          <w:szCs w:val="28"/>
        </w:rPr>
        <w:t>万元，决算数</w:t>
      </w:r>
      <w:r>
        <w:rPr>
          <w:rFonts w:eastAsia="仿宋_GB2312"/>
          <w:spacing w:val="8"/>
          <w:sz w:val="28"/>
          <w:szCs w:val="28"/>
        </w:rPr>
        <w:t>2779.43</w:t>
      </w:r>
      <w:r>
        <w:rPr>
          <w:rFonts w:hAnsi="仿宋_GB2312" w:eastAsia="仿宋_GB2312"/>
          <w:spacing w:val="8"/>
          <w:sz w:val="28"/>
          <w:szCs w:val="28"/>
        </w:rPr>
        <w:t>万元。</w:t>
      </w:r>
    </w:p>
    <w:p w14:paraId="57A0292E">
      <w:pPr>
        <w:widowControl/>
        <w:spacing w:line="590" w:lineRule="exact"/>
        <w:ind w:left="420" w:leftChars="200" w:firstLine="6480" w:firstLineChars="2700"/>
        <w:contextualSpacing/>
      </w:pPr>
      <w:r>
        <w:rPr>
          <w:rFonts w:eastAsia="仿宋_GB2312"/>
          <w:color w:val="000000"/>
          <w:kern w:val="0"/>
          <w:sz w:val="24"/>
          <w:shd w:val="clear" w:color="auto" w:fill="FFFFFF"/>
        </w:rPr>
        <w:t>单位：万元</w:t>
      </w:r>
    </w:p>
    <w:tbl>
      <w:tblPr>
        <w:tblStyle w:val="19"/>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379"/>
        <w:gridCol w:w="1721"/>
        <w:gridCol w:w="1646"/>
        <w:gridCol w:w="2099"/>
      </w:tblGrid>
      <w:tr w14:paraId="56B5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072" w:type="dxa"/>
            <w:vAlign w:val="center"/>
          </w:tcPr>
          <w:p w14:paraId="749AAD97">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类别</w:t>
            </w:r>
          </w:p>
        </w:tc>
        <w:tc>
          <w:tcPr>
            <w:tcW w:w="1379" w:type="dxa"/>
            <w:vAlign w:val="center"/>
          </w:tcPr>
          <w:p w14:paraId="57A8D2F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年初预算</w:t>
            </w:r>
          </w:p>
        </w:tc>
        <w:tc>
          <w:tcPr>
            <w:tcW w:w="1721" w:type="dxa"/>
            <w:vAlign w:val="center"/>
          </w:tcPr>
          <w:p w14:paraId="59D73889">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中期调整</w:t>
            </w:r>
          </w:p>
        </w:tc>
        <w:tc>
          <w:tcPr>
            <w:tcW w:w="1646" w:type="dxa"/>
            <w:vAlign w:val="center"/>
          </w:tcPr>
          <w:p w14:paraId="5323111C">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调整预算</w:t>
            </w:r>
          </w:p>
        </w:tc>
        <w:tc>
          <w:tcPr>
            <w:tcW w:w="2099" w:type="dxa"/>
            <w:vAlign w:val="center"/>
          </w:tcPr>
          <w:p w14:paraId="37192905">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决算数</w:t>
            </w:r>
          </w:p>
        </w:tc>
      </w:tr>
      <w:tr w14:paraId="46F5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72" w:type="dxa"/>
            <w:vAlign w:val="center"/>
          </w:tcPr>
          <w:p w14:paraId="398273F1">
            <w:pPr>
              <w:widowControl/>
              <w:adjustRightInd w:val="0"/>
              <w:snapToGrid w:val="0"/>
              <w:jc w:val="center"/>
              <w:textAlignment w:val="center"/>
              <w:rPr>
                <w:rFonts w:eastAsia="仿宋_GB2312"/>
                <w:szCs w:val="21"/>
              </w:rPr>
            </w:pPr>
            <w:r>
              <w:rPr>
                <w:rFonts w:eastAsia="仿宋_GB2312"/>
                <w:szCs w:val="21"/>
              </w:rPr>
              <w:t>一般公共预算财政拨款收入</w:t>
            </w:r>
          </w:p>
        </w:tc>
        <w:tc>
          <w:tcPr>
            <w:tcW w:w="1379" w:type="dxa"/>
            <w:vAlign w:val="center"/>
          </w:tcPr>
          <w:p w14:paraId="7FCB37C8">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1901.9</w:t>
            </w:r>
          </w:p>
        </w:tc>
        <w:tc>
          <w:tcPr>
            <w:tcW w:w="1721" w:type="dxa"/>
            <w:vAlign w:val="center"/>
          </w:tcPr>
          <w:p w14:paraId="7B7E24FA">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1038.03</w:t>
            </w:r>
          </w:p>
        </w:tc>
        <w:tc>
          <w:tcPr>
            <w:tcW w:w="1646" w:type="dxa"/>
            <w:vAlign w:val="center"/>
          </w:tcPr>
          <w:p w14:paraId="1D03C4C5">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2939.93</w:t>
            </w:r>
          </w:p>
        </w:tc>
        <w:tc>
          <w:tcPr>
            <w:tcW w:w="2099" w:type="dxa"/>
            <w:vAlign w:val="center"/>
          </w:tcPr>
          <w:p w14:paraId="7AA3FEAB">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2653.43</w:t>
            </w:r>
          </w:p>
        </w:tc>
      </w:tr>
      <w:tr w14:paraId="57AF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072" w:type="dxa"/>
            <w:vAlign w:val="center"/>
          </w:tcPr>
          <w:p w14:paraId="073638FD">
            <w:pPr>
              <w:widowControl/>
              <w:adjustRightInd w:val="0"/>
              <w:snapToGrid w:val="0"/>
              <w:jc w:val="center"/>
              <w:textAlignment w:val="center"/>
              <w:rPr>
                <w:rFonts w:eastAsia="仿宋_GB2312"/>
                <w:szCs w:val="21"/>
              </w:rPr>
            </w:pPr>
            <w:r>
              <w:rPr>
                <w:rFonts w:eastAsia="仿宋_GB2312"/>
                <w:szCs w:val="21"/>
              </w:rPr>
              <w:t>其他收入</w:t>
            </w:r>
          </w:p>
        </w:tc>
        <w:tc>
          <w:tcPr>
            <w:tcW w:w="1379" w:type="dxa"/>
            <w:vAlign w:val="center"/>
          </w:tcPr>
          <w:p w14:paraId="025AB807">
            <w:pPr>
              <w:pStyle w:val="42"/>
              <w:spacing w:line="400" w:lineRule="exact"/>
              <w:rPr>
                <w:rFonts w:eastAsia="仿宋_GB2312" w:cs="Times New Roman"/>
                <w:color w:val="auto"/>
                <w:sz w:val="21"/>
                <w:szCs w:val="21"/>
                <w:lang w:val="en-US"/>
              </w:rPr>
            </w:pPr>
          </w:p>
        </w:tc>
        <w:tc>
          <w:tcPr>
            <w:tcW w:w="1721" w:type="dxa"/>
            <w:vAlign w:val="center"/>
          </w:tcPr>
          <w:p w14:paraId="1C6211F2">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126</w:t>
            </w:r>
          </w:p>
        </w:tc>
        <w:tc>
          <w:tcPr>
            <w:tcW w:w="1646" w:type="dxa"/>
            <w:vAlign w:val="center"/>
          </w:tcPr>
          <w:p w14:paraId="407032AE">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126</w:t>
            </w:r>
          </w:p>
        </w:tc>
        <w:tc>
          <w:tcPr>
            <w:tcW w:w="2099" w:type="dxa"/>
            <w:vAlign w:val="center"/>
          </w:tcPr>
          <w:p w14:paraId="0EE4E725">
            <w:pPr>
              <w:pStyle w:val="42"/>
              <w:spacing w:line="400" w:lineRule="exact"/>
              <w:rPr>
                <w:rFonts w:eastAsia="仿宋_GB2312" w:cs="Times New Roman"/>
                <w:color w:val="auto"/>
                <w:sz w:val="21"/>
                <w:szCs w:val="21"/>
                <w:lang w:val="en-US"/>
              </w:rPr>
            </w:pPr>
            <w:r>
              <w:rPr>
                <w:rFonts w:eastAsia="仿宋_GB2312" w:cs="Times New Roman"/>
                <w:color w:val="auto"/>
                <w:sz w:val="21"/>
                <w:szCs w:val="21"/>
                <w:lang w:val="en-US"/>
              </w:rPr>
              <w:t>126</w:t>
            </w:r>
          </w:p>
        </w:tc>
      </w:tr>
      <w:tr w14:paraId="7A6A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2072" w:type="dxa"/>
            <w:vAlign w:val="center"/>
          </w:tcPr>
          <w:p w14:paraId="18DA7515">
            <w:pPr>
              <w:pStyle w:val="42"/>
              <w:spacing w:line="400" w:lineRule="exact"/>
              <w:rPr>
                <w:rFonts w:eastAsia="仿宋_GB2312" w:cs="Times New Roman"/>
                <w:b/>
                <w:bCs w:val="0"/>
                <w:color w:val="auto"/>
                <w:sz w:val="21"/>
                <w:szCs w:val="21"/>
              </w:rPr>
            </w:pPr>
            <w:r>
              <w:rPr>
                <w:rFonts w:eastAsia="仿宋_GB2312" w:cs="Times New Roman"/>
                <w:b/>
                <w:bCs w:val="0"/>
                <w:color w:val="auto"/>
                <w:sz w:val="21"/>
                <w:szCs w:val="21"/>
              </w:rPr>
              <w:t>总计</w:t>
            </w:r>
          </w:p>
        </w:tc>
        <w:tc>
          <w:tcPr>
            <w:tcW w:w="1379" w:type="dxa"/>
            <w:vAlign w:val="center"/>
          </w:tcPr>
          <w:p w14:paraId="7DED1E65">
            <w:pPr>
              <w:pStyle w:val="42"/>
              <w:spacing w:line="400" w:lineRule="exact"/>
              <w:rPr>
                <w:rFonts w:eastAsia="仿宋_GB2312" w:cs="Times New Roman"/>
                <w:b/>
                <w:bCs w:val="0"/>
                <w:color w:val="auto"/>
                <w:sz w:val="21"/>
                <w:szCs w:val="21"/>
                <w:lang w:val="en-US"/>
              </w:rPr>
            </w:pPr>
            <w:r>
              <w:rPr>
                <w:rFonts w:eastAsia="仿宋_GB2312" w:cs="Times New Roman"/>
                <w:b/>
                <w:bCs w:val="0"/>
                <w:color w:val="auto"/>
                <w:sz w:val="21"/>
                <w:szCs w:val="21"/>
                <w:lang w:val="en-US"/>
              </w:rPr>
              <w:t>1901.9</w:t>
            </w:r>
          </w:p>
        </w:tc>
        <w:tc>
          <w:tcPr>
            <w:tcW w:w="1721" w:type="dxa"/>
            <w:vAlign w:val="center"/>
          </w:tcPr>
          <w:p w14:paraId="2B39E3D8">
            <w:pPr>
              <w:pStyle w:val="42"/>
              <w:spacing w:line="400" w:lineRule="exact"/>
              <w:rPr>
                <w:rFonts w:eastAsia="仿宋_GB2312" w:cs="Times New Roman"/>
                <w:b/>
                <w:bCs w:val="0"/>
                <w:color w:val="auto"/>
                <w:sz w:val="21"/>
                <w:szCs w:val="21"/>
                <w:lang w:val="en-US"/>
              </w:rPr>
            </w:pPr>
            <w:r>
              <w:rPr>
                <w:rFonts w:eastAsia="仿宋_GB2312" w:cs="Times New Roman"/>
                <w:b/>
                <w:bCs w:val="0"/>
                <w:color w:val="auto"/>
                <w:sz w:val="21"/>
                <w:szCs w:val="21"/>
                <w:lang w:val="en-US"/>
              </w:rPr>
              <w:t>1164.03</w:t>
            </w:r>
          </w:p>
        </w:tc>
        <w:tc>
          <w:tcPr>
            <w:tcW w:w="1646" w:type="dxa"/>
            <w:vAlign w:val="center"/>
          </w:tcPr>
          <w:p w14:paraId="484808ED">
            <w:pPr>
              <w:pStyle w:val="42"/>
              <w:pBdr>
                <w:between w:val="none" w:color="auto" w:sz="0" w:space="0"/>
              </w:pBdr>
              <w:spacing w:line="400" w:lineRule="exact"/>
              <w:rPr>
                <w:rFonts w:eastAsia="仿宋_GB2312" w:cs="Times New Roman"/>
                <w:b/>
                <w:bCs w:val="0"/>
                <w:color w:val="auto"/>
                <w:sz w:val="21"/>
                <w:szCs w:val="21"/>
                <w:lang w:val="en-US"/>
              </w:rPr>
            </w:pPr>
            <w:r>
              <w:rPr>
                <w:rFonts w:eastAsia="仿宋_GB2312" w:cs="Times New Roman"/>
                <w:b/>
                <w:bCs w:val="0"/>
                <w:color w:val="auto"/>
                <w:sz w:val="21"/>
                <w:szCs w:val="21"/>
                <w:lang w:val="en-US"/>
              </w:rPr>
              <w:t>3065.93</w:t>
            </w:r>
          </w:p>
        </w:tc>
        <w:tc>
          <w:tcPr>
            <w:tcW w:w="2099" w:type="dxa"/>
            <w:vAlign w:val="center"/>
          </w:tcPr>
          <w:p w14:paraId="63E10B88">
            <w:pPr>
              <w:pStyle w:val="42"/>
              <w:pBdr>
                <w:between w:val="none" w:color="auto" w:sz="0" w:space="0"/>
              </w:pBdr>
              <w:spacing w:line="400" w:lineRule="exact"/>
              <w:rPr>
                <w:rFonts w:eastAsia="仿宋_GB2312" w:cs="Times New Roman"/>
                <w:b/>
                <w:bCs w:val="0"/>
                <w:color w:val="auto"/>
                <w:sz w:val="21"/>
                <w:szCs w:val="21"/>
                <w:lang w:val="en-US"/>
              </w:rPr>
            </w:pPr>
            <w:r>
              <w:rPr>
                <w:rFonts w:eastAsia="仿宋_GB2312" w:cs="Times New Roman"/>
                <w:b/>
                <w:bCs w:val="0"/>
                <w:color w:val="auto"/>
                <w:sz w:val="21"/>
                <w:szCs w:val="21"/>
                <w:lang w:val="en-US"/>
              </w:rPr>
              <w:t>2779.43</w:t>
            </w:r>
          </w:p>
        </w:tc>
      </w:tr>
    </w:tbl>
    <w:p w14:paraId="60A40181">
      <w:pPr>
        <w:pStyle w:val="6"/>
        <w:spacing w:before="156"/>
        <w:ind w:firstLine="0" w:firstLineChars="0"/>
        <w:rPr>
          <w:lang w:eastAsia="zh-CN"/>
        </w:rPr>
      </w:pPr>
    </w:p>
    <w:p w14:paraId="0C3EC102">
      <w:pPr>
        <w:numPr>
          <w:ilvl w:val="0"/>
          <w:numId w:val="3"/>
        </w:numPr>
        <w:spacing w:line="590" w:lineRule="exact"/>
        <w:ind w:firstLine="562" w:firstLineChars="200"/>
        <w:contextualSpacing/>
        <w:rPr>
          <w:rFonts w:eastAsia="仿宋_GB2312"/>
          <w:spacing w:val="8"/>
          <w:sz w:val="28"/>
          <w:szCs w:val="28"/>
        </w:rPr>
      </w:pPr>
      <w:r>
        <w:rPr>
          <w:rFonts w:hAnsi="仿宋_GB2312" w:eastAsia="仿宋_GB2312"/>
          <w:b/>
          <w:bCs/>
          <w:color w:val="000000"/>
          <w:kern w:val="0"/>
          <w:sz w:val="28"/>
          <w:szCs w:val="28"/>
          <w:shd w:val="clear" w:color="auto" w:fill="FFFFFF"/>
          <w:lang w:val="zh-CN"/>
        </w:rPr>
        <w:t>支出情况。</w:t>
      </w:r>
      <w:r>
        <w:rPr>
          <w:rFonts w:hAnsi="仿宋_GB2312" w:eastAsia="仿宋_GB2312"/>
          <w:sz w:val="28"/>
          <w:szCs w:val="28"/>
        </w:rPr>
        <w:t>遂宁市经济和信息化局</w:t>
      </w:r>
      <w:r>
        <w:rPr>
          <w:rFonts w:eastAsia="仿宋_GB2312"/>
          <w:spacing w:val="8"/>
          <w:sz w:val="28"/>
          <w:szCs w:val="28"/>
        </w:rPr>
        <w:t>2024</w:t>
      </w:r>
      <w:r>
        <w:rPr>
          <w:rFonts w:hAnsi="仿宋_GB2312" w:eastAsia="仿宋_GB2312"/>
          <w:spacing w:val="8"/>
          <w:sz w:val="28"/>
          <w:szCs w:val="28"/>
        </w:rPr>
        <w:t>年度预算支出总额为</w:t>
      </w:r>
      <w:r>
        <w:rPr>
          <w:rFonts w:eastAsia="仿宋_GB2312"/>
          <w:spacing w:val="8"/>
          <w:sz w:val="28"/>
          <w:szCs w:val="28"/>
        </w:rPr>
        <w:t>2750.62</w:t>
      </w:r>
      <w:r>
        <w:rPr>
          <w:rFonts w:hAnsi="仿宋_GB2312" w:eastAsia="仿宋_GB2312"/>
          <w:spacing w:val="8"/>
          <w:sz w:val="28"/>
          <w:szCs w:val="28"/>
        </w:rPr>
        <w:t>万元。其中基本支出</w:t>
      </w:r>
      <w:r>
        <w:rPr>
          <w:rFonts w:eastAsia="仿宋_GB2312"/>
          <w:spacing w:val="8"/>
          <w:sz w:val="28"/>
          <w:szCs w:val="28"/>
        </w:rPr>
        <w:t>2101.52</w:t>
      </w:r>
      <w:r>
        <w:rPr>
          <w:rFonts w:hAnsi="仿宋_GB2312" w:eastAsia="仿宋_GB2312"/>
          <w:spacing w:val="8"/>
          <w:sz w:val="28"/>
          <w:szCs w:val="28"/>
        </w:rPr>
        <w:t>万元，占总支出的</w:t>
      </w:r>
      <w:r>
        <w:rPr>
          <w:rFonts w:eastAsia="仿宋_GB2312"/>
          <w:spacing w:val="8"/>
          <w:sz w:val="28"/>
          <w:szCs w:val="28"/>
        </w:rPr>
        <w:t>76.41%</w:t>
      </w:r>
      <w:r>
        <w:rPr>
          <w:rFonts w:hAnsi="仿宋_GB2312" w:eastAsia="仿宋_GB2312"/>
          <w:spacing w:val="8"/>
          <w:sz w:val="28"/>
          <w:szCs w:val="28"/>
        </w:rPr>
        <w:t>；项目支出</w:t>
      </w:r>
      <w:r>
        <w:rPr>
          <w:rFonts w:eastAsia="仿宋_GB2312"/>
          <w:spacing w:val="8"/>
          <w:sz w:val="28"/>
          <w:szCs w:val="28"/>
        </w:rPr>
        <w:t>649.09</w:t>
      </w:r>
      <w:r>
        <w:rPr>
          <w:rFonts w:hAnsi="仿宋_GB2312" w:eastAsia="仿宋_GB2312"/>
          <w:spacing w:val="8"/>
          <w:sz w:val="28"/>
          <w:szCs w:val="28"/>
        </w:rPr>
        <w:t>万元，占总支出的</w:t>
      </w:r>
      <w:r>
        <w:rPr>
          <w:rFonts w:eastAsia="仿宋_GB2312"/>
          <w:spacing w:val="8"/>
          <w:sz w:val="28"/>
          <w:szCs w:val="28"/>
        </w:rPr>
        <w:t>23.59%</w:t>
      </w:r>
      <w:r>
        <w:rPr>
          <w:rFonts w:hAnsi="仿宋_GB2312" w:eastAsia="仿宋_GB2312"/>
          <w:spacing w:val="8"/>
          <w:sz w:val="28"/>
          <w:szCs w:val="28"/>
        </w:rPr>
        <w:t>。</w:t>
      </w:r>
    </w:p>
    <w:p w14:paraId="0F3065F5">
      <w:pPr>
        <w:widowControl/>
        <w:spacing w:line="590" w:lineRule="exact"/>
        <w:ind w:left="420" w:leftChars="200" w:firstLine="6480" w:firstLineChars="2700"/>
        <w:contextualSpacing/>
      </w:pPr>
      <w:bookmarkStart w:id="114" w:name="OLE_LINK3"/>
      <w:r>
        <w:rPr>
          <w:rFonts w:eastAsia="仿宋_GB2312"/>
          <w:color w:val="000000"/>
          <w:kern w:val="0"/>
          <w:sz w:val="24"/>
          <w:shd w:val="clear" w:color="auto" w:fill="FFFFFF"/>
        </w:rPr>
        <w:t>单位：万元</w:t>
      </w:r>
    </w:p>
    <w:bookmarkEnd w:id="114"/>
    <w:tbl>
      <w:tblPr>
        <w:tblStyle w:val="19"/>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388"/>
        <w:gridCol w:w="1733"/>
        <w:gridCol w:w="1658"/>
        <w:gridCol w:w="2113"/>
      </w:tblGrid>
      <w:tr w14:paraId="7484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86" w:type="dxa"/>
            <w:vAlign w:val="center"/>
          </w:tcPr>
          <w:p w14:paraId="6D4C26CD">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类别</w:t>
            </w:r>
          </w:p>
        </w:tc>
        <w:tc>
          <w:tcPr>
            <w:tcW w:w="1388" w:type="dxa"/>
            <w:vAlign w:val="center"/>
          </w:tcPr>
          <w:p w14:paraId="5E1C86E5">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年初预算</w:t>
            </w:r>
          </w:p>
        </w:tc>
        <w:tc>
          <w:tcPr>
            <w:tcW w:w="1733" w:type="dxa"/>
            <w:vAlign w:val="center"/>
          </w:tcPr>
          <w:p w14:paraId="2DBBFE34">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追加（减）</w:t>
            </w:r>
          </w:p>
        </w:tc>
        <w:tc>
          <w:tcPr>
            <w:tcW w:w="1658" w:type="dxa"/>
            <w:vAlign w:val="center"/>
          </w:tcPr>
          <w:p w14:paraId="28A8F35B">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调整后预算</w:t>
            </w:r>
          </w:p>
        </w:tc>
        <w:tc>
          <w:tcPr>
            <w:tcW w:w="2113" w:type="dxa"/>
            <w:vAlign w:val="center"/>
          </w:tcPr>
          <w:p w14:paraId="46478157">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支出决算数</w:t>
            </w:r>
          </w:p>
        </w:tc>
      </w:tr>
      <w:tr w14:paraId="0BB0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86" w:type="dxa"/>
            <w:vAlign w:val="center"/>
          </w:tcPr>
          <w:p w14:paraId="174DC020">
            <w:pPr>
              <w:widowControl/>
              <w:textAlignment w:val="center"/>
              <w:rPr>
                <w:rFonts w:eastAsia="仿宋_GB2312"/>
                <w:sz w:val="24"/>
              </w:rPr>
            </w:pPr>
            <w:r>
              <w:rPr>
                <w:rFonts w:eastAsia="仿宋_GB2312"/>
                <w:color w:val="000000"/>
                <w:kern w:val="0"/>
                <w:sz w:val="24"/>
              </w:rPr>
              <w:t>一、基本支出</w:t>
            </w:r>
          </w:p>
        </w:tc>
        <w:tc>
          <w:tcPr>
            <w:tcW w:w="1388" w:type="dxa"/>
            <w:vAlign w:val="center"/>
          </w:tcPr>
          <w:p w14:paraId="18A7C17A">
            <w:pPr>
              <w:widowControl/>
              <w:jc w:val="center"/>
              <w:textAlignment w:val="center"/>
              <w:rPr>
                <w:rFonts w:eastAsia="仿宋_GB2312"/>
                <w:color w:val="000000"/>
                <w:kern w:val="0"/>
                <w:sz w:val="24"/>
              </w:rPr>
            </w:pPr>
            <w:r>
              <w:rPr>
                <w:color w:val="000000"/>
                <w:kern w:val="0"/>
                <w:sz w:val="24"/>
              </w:rPr>
              <w:t>1482.08</w:t>
            </w:r>
          </w:p>
        </w:tc>
        <w:tc>
          <w:tcPr>
            <w:tcW w:w="1733" w:type="dxa"/>
            <w:vAlign w:val="center"/>
          </w:tcPr>
          <w:p w14:paraId="0FDD426B">
            <w:pPr>
              <w:widowControl/>
              <w:jc w:val="center"/>
              <w:textAlignment w:val="center"/>
              <w:rPr>
                <w:rFonts w:eastAsia="仿宋_GB2312"/>
                <w:color w:val="000000"/>
                <w:kern w:val="0"/>
                <w:sz w:val="24"/>
              </w:rPr>
            </w:pPr>
            <w:r>
              <w:rPr>
                <w:color w:val="000000"/>
                <w:kern w:val="0"/>
                <w:sz w:val="24"/>
              </w:rPr>
              <w:t>693.99</w:t>
            </w:r>
          </w:p>
        </w:tc>
        <w:tc>
          <w:tcPr>
            <w:tcW w:w="1658" w:type="dxa"/>
            <w:vAlign w:val="center"/>
          </w:tcPr>
          <w:p w14:paraId="303D352A">
            <w:pPr>
              <w:widowControl/>
              <w:jc w:val="center"/>
              <w:textAlignment w:val="center"/>
              <w:rPr>
                <w:rFonts w:eastAsia="仿宋_GB2312"/>
                <w:color w:val="000000"/>
                <w:kern w:val="0"/>
                <w:sz w:val="24"/>
              </w:rPr>
            </w:pPr>
            <w:r>
              <w:rPr>
                <w:color w:val="000000"/>
                <w:kern w:val="0"/>
                <w:sz w:val="24"/>
              </w:rPr>
              <w:t>2176.07</w:t>
            </w:r>
          </w:p>
        </w:tc>
        <w:tc>
          <w:tcPr>
            <w:tcW w:w="2113" w:type="dxa"/>
            <w:vAlign w:val="center"/>
          </w:tcPr>
          <w:p w14:paraId="68915A58">
            <w:pPr>
              <w:widowControl/>
              <w:jc w:val="center"/>
              <w:textAlignment w:val="center"/>
              <w:rPr>
                <w:rFonts w:eastAsia="仿宋_GB2312"/>
                <w:color w:val="000000"/>
                <w:kern w:val="0"/>
                <w:sz w:val="24"/>
              </w:rPr>
            </w:pPr>
            <w:r>
              <w:rPr>
                <w:color w:val="000000"/>
                <w:kern w:val="0"/>
                <w:sz w:val="24"/>
              </w:rPr>
              <w:t>2101.52</w:t>
            </w:r>
          </w:p>
        </w:tc>
      </w:tr>
      <w:tr w14:paraId="449A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86" w:type="dxa"/>
            <w:vAlign w:val="center"/>
          </w:tcPr>
          <w:p w14:paraId="4E09338E">
            <w:pPr>
              <w:widowControl/>
              <w:textAlignment w:val="center"/>
              <w:rPr>
                <w:rFonts w:eastAsia="仿宋_GB2312"/>
                <w:sz w:val="24"/>
              </w:rPr>
            </w:pPr>
            <w:r>
              <w:rPr>
                <w:rFonts w:eastAsia="仿宋_GB2312"/>
                <w:color w:val="000000"/>
                <w:kern w:val="0"/>
                <w:sz w:val="24"/>
              </w:rPr>
              <w:t>（一）人员经费</w:t>
            </w:r>
          </w:p>
        </w:tc>
        <w:tc>
          <w:tcPr>
            <w:tcW w:w="1388" w:type="dxa"/>
            <w:vAlign w:val="center"/>
          </w:tcPr>
          <w:p w14:paraId="2B32F67B">
            <w:pPr>
              <w:widowControl/>
              <w:jc w:val="center"/>
              <w:textAlignment w:val="center"/>
              <w:rPr>
                <w:rFonts w:eastAsia="仿宋_GB2312"/>
                <w:sz w:val="24"/>
              </w:rPr>
            </w:pPr>
            <w:r>
              <w:rPr>
                <w:sz w:val="24"/>
              </w:rPr>
              <w:t>1215.93</w:t>
            </w:r>
          </w:p>
        </w:tc>
        <w:tc>
          <w:tcPr>
            <w:tcW w:w="1733" w:type="dxa"/>
            <w:vAlign w:val="center"/>
          </w:tcPr>
          <w:p w14:paraId="27D17258">
            <w:pPr>
              <w:widowControl/>
              <w:jc w:val="center"/>
              <w:textAlignment w:val="center"/>
              <w:rPr>
                <w:rFonts w:eastAsia="仿宋_GB2312"/>
                <w:sz w:val="24"/>
              </w:rPr>
            </w:pPr>
            <w:r>
              <w:rPr>
                <w:sz w:val="24"/>
              </w:rPr>
              <w:t>692.15</w:t>
            </w:r>
          </w:p>
        </w:tc>
        <w:tc>
          <w:tcPr>
            <w:tcW w:w="1658" w:type="dxa"/>
            <w:vAlign w:val="center"/>
          </w:tcPr>
          <w:p w14:paraId="1A34B2E1">
            <w:pPr>
              <w:widowControl/>
              <w:jc w:val="center"/>
              <w:textAlignment w:val="center"/>
              <w:rPr>
                <w:rFonts w:eastAsia="仿宋_GB2312"/>
                <w:sz w:val="24"/>
              </w:rPr>
            </w:pPr>
            <w:r>
              <w:rPr>
                <w:sz w:val="24"/>
              </w:rPr>
              <w:t>1908.08</w:t>
            </w:r>
          </w:p>
        </w:tc>
        <w:tc>
          <w:tcPr>
            <w:tcW w:w="2113" w:type="dxa"/>
            <w:vAlign w:val="center"/>
          </w:tcPr>
          <w:p w14:paraId="02E22A33">
            <w:pPr>
              <w:widowControl/>
              <w:jc w:val="center"/>
              <w:textAlignment w:val="center"/>
              <w:rPr>
                <w:rFonts w:eastAsia="仿宋_GB2312"/>
                <w:sz w:val="24"/>
              </w:rPr>
            </w:pPr>
            <w:r>
              <w:rPr>
                <w:sz w:val="24"/>
              </w:rPr>
              <w:t>1857.46</w:t>
            </w:r>
          </w:p>
        </w:tc>
      </w:tr>
      <w:tr w14:paraId="39C9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86" w:type="dxa"/>
            <w:vAlign w:val="center"/>
          </w:tcPr>
          <w:p w14:paraId="3A367880">
            <w:pPr>
              <w:widowControl/>
              <w:textAlignment w:val="center"/>
              <w:rPr>
                <w:rFonts w:eastAsia="仿宋_GB2312"/>
                <w:sz w:val="24"/>
              </w:rPr>
            </w:pPr>
            <w:r>
              <w:rPr>
                <w:rFonts w:eastAsia="仿宋_GB2312"/>
                <w:color w:val="000000"/>
                <w:kern w:val="0"/>
                <w:sz w:val="24"/>
              </w:rPr>
              <w:t>（二）公用经费</w:t>
            </w:r>
          </w:p>
        </w:tc>
        <w:tc>
          <w:tcPr>
            <w:tcW w:w="1388" w:type="dxa"/>
            <w:vAlign w:val="center"/>
          </w:tcPr>
          <w:p w14:paraId="62A14317">
            <w:pPr>
              <w:widowControl/>
              <w:jc w:val="center"/>
              <w:textAlignment w:val="center"/>
              <w:rPr>
                <w:rFonts w:eastAsia="仿宋_GB2312"/>
                <w:sz w:val="24"/>
              </w:rPr>
            </w:pPr>
            <w:r>
              <w:rPr>
                <w:sz w:val="24"/>
              </w:rPr>
              <w:t>266.14</w:t>
            </w:r>
          </w:p>
        </w:tc>
        <w:tc>
          <w:tcPr>
            <w:tcW w:w="1733" w:type="dxa"/>
            <w:vAlign w:val="center"/>
          </w:tcPr>
          <w:p w14:paraId="59B59B3E">
            <w:pPr>
              <w:widowControl/>
              <w:jc w:val="center"/>
              <w:textAlignment w:val="center"/>
              <w:rPr>
                <w:rFonts w:eastAsia="仿宋_GB2312"/>
                <w:sz w:val="24"/>
              </w:rPr>
            </w:pPr>
            <w:r>
              <w:rPr>
                <w:sz w:val="24"/>
              </w:rPr>
              <w:t>1.84</w:t>
            </w:r>
          </w:p>
        </w:tc>
        <w:tc>
          <w:tcPr>
            <w:tcW w:w="1658" w:type="dxa"/>
            <w:vAlign w:val="center"/>
          </w:tcPr>
          <w:p w14:paraId="4D009DF8">
            <w:pPr>
              <w:widowControl/>
              <w:jc w:val="center"/>
              <w:textAlignment w:val="center"/>
              <w:rPr>
                <w:rFonts w:eastAsia="仿宋_GB2312"/>
                <w:sz w:val="24"/>
              </w:rPr>
            </w:pPr>
            <w:r>
              <w:rPr>
                <w:sz w:val="24"/>
              </w:rPr>
              <w:t>267.98</w:t>
            </w:r>
          </w:p>
        </w:tc>
        <w:tc>
          <w:tcPr>
            <w:tcW w:w="2113" w:type="dxa"/>
            <w:vAlign w:val="center"/>
          </w:tcPr>
          <w:p w14:paraId="316F996C">
            <w:pPr>
              <w:widowControl/>
              <w:jc w:val="center"/>
              <w:textAlignment w:val="center"/>
              <w:rPr>
                <w:rFonts w:eastAsia="仿宋_GB2312"/>
                <w:sz w:val="24"/>
              </w:rPr>
            </w:pPr>
            <w:r>
              <w:rPr>
                <w:sz w:val="24"/>
              </w:rPr>
              <w:t>244.05</w:t>
            </w:r>
          </w:p>
        </w:tc>
      </w:tr>
      <w:tr w14:paraId="5208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86" w:type="dxa"/>
            <w:vAlign w:val="center"/>
          </w:tcPr>
          <w:p w14:paraId="087CC460">
            <w:pPr>
              <w:widowControl/>
              <w:textAlignment w:val="center"/>
              <w:rPr>
                <w:rFonts w:eastAsia="仿宋_GB2312"/>
                <w:sz w:val="24"/>
              </w:rPr>
            </w:pPr>
            <w:r>
              <w:rPr>
                <w:rFonts w:eastAsia="仿宋_GB2312"/>
                <w:color w:val="000000"/>
                <w:kern w:val="0"/>
                <w:sz w:val="24"/>
              </w:rPr>
              <w:t>二、项目支出</w:t>
            </w:r>
          </w:p>
        </w:tc>
        <w:tc>
          <w:tcPr>
            <w:tcW w:w="1388" w:type="dxa"/>
            <w:vAlign w:val="center"/>
          </w:tcPr>
          <w:p w14:paraId="3A46CE8A">
            <w:pPr>
              <w:widowControl/>
              <w:jc w:val="center"/>
              <w:textAlignment w:val="center"/>
              <w:rPr>
                <w:rFonts w:eastAsia="仿宋_GB2312"/>
                <w:sz w:val="24"/>
              </w:rPr>
            </w:pPr>
            <w:r>
              <w:rPr>
                <w:sz w:val="24"/>
              </w:rPr>
              <w:t>419.9</w:t>
            </w:r>
          </w:p>
        </w:tc>
        <w:tc>
          <w:tcPr>
            <w:tcW w:w="1733" w:type="dxa"/>
            <w:vAlign w:val="center"/>
          </w:tcPr>
          <w:p w14:paraId="1CB838CE">
            <w:pPr>
              <w:widowControl/>
              <w:jc w:val="center"/>
              <w:textAlignment w:val="center"/>
              <w:rPr>
                <w:rFonts w:eastAsia="仿宋_GB2312"/>
                <w:sz w:val="24"/>
              </w:rPr>
            </w:pPr>
            <w:r>
              <w:rPr>
                <w:sz w:val="24"/>
              </w:rPr>
              <w:t>499.16</w:t>
            </w:r>
          </w:p>
        </w:tc>
        <w:tc>
          <w:tcPr>
            <w:tcW w:w="1658" w:type="dxa"/>
            <w:vAlign w:val="center"/>
          </w:tcPr>
          <w:p w14:paraId="39B287A4">
            <w:pPr>
              <w:widowControl/>
              <w:jc w:val="center"/>
              <w:textAlignment w:val="center"/>
              <w:rPr>
                <w:rFonts w:eastAsia="仿宋_GB2312"/>
                <w:sz w:val="24"/>
              </w:rPr>
            </w:pPr>
            <w:r>
              <w:rPr>
                <w:sz w:val="24"/>
              </w:rPr>
              <w:t>919.06</w:t>
            </w:r>
          </w:p>
        </w:tc>
        <w:tc>
          <w:tcPr>
            <w:tcW w:w="2113" w:type="dxa"/>
            <w:vAlign w:val="center"/>
          </w:tcPr>
          <w:p w14:paraId="21813D4B">
            <w:pPr>
              <w:widowControl/>
              <w:jc w:val="center"/>
              <w:textAlignment w:val="center"/>
              <w:rPr>
                <w:rFonts w:eastAsia="仿宋_GB2312"/>
                <w:sz w:val="24"/>
              </w:rPr>
            </w:pPr>
            <w:r>
              <w:rPr>
                <w:sz w:val="24"/>
              </w:rPr>
              <w:t>551.91</w:t>
            </w:r>
          </w:p>
        </w:tc>
      </w:tr>
      <w:tr w14:paraId="6401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086" w:type="dxa"/>
            <w:vAlign w:val="center"/>
          </w:tcPr>
          <w:p w14:paraId="04733366">
            <w:pPr>
              <w:widowControl/>
              <w:textAlignment w:val="center"/>
              <w:rPr>
                <w:rFonts w:eastAsia="仿宋_GB2312"/>
                <w:color w:val="000000"/>
                <w:kern w:val="0"/>
                <w:sz w:val="24"/>
              </w:rPr>
            </w:pPr>
            <w:r>
              <w:rPr>
                <w:color w:val="000000"/>
                <w:kern w:val="0"/>
                <w:sz w:val="24"/>
              </w:rPr>
              <w:t>其他支出</w:t>
            </w:r>
          </w:p>
        </w:tc>
        <w:tc>
          <w:tcPr>
            <w:tcW w:w="1388" w:type="dxa"/>
            <w:vAlign w:val="center"/>
          </w:tcPr>
          <w:p w14:paraId="2F5A440F">
            <w:pPr>
              <w:widowControl/>
              <w:jc w:val="center"/>
              <w:textAlignment w:val="center"/>
              <w:rPr>
                <w:sz w:val="24"/>
              </w:rPr>
            </w:pPr>
            <w:r>
              <w:rPr>
                <w:sz w:val="24"/>
              </w:rPr>
              <w:t>0</w:t>
            </w:r>
          </w:p>
        </w:tc>
        <w:tc>
          <w:tcPr>
            <w:tcW w:w="1733" w:type="dxa"/>
            <w:vAlign w:val="center"/>
          </w:tcPr>
          <w:p w14:paraId="08B453A7">
            <w:pPr>
              <w:widowControl/>
              <w:jc w:val="center"/>
              <w:textAlignment w:val="center"/>
              <w:rPr>
                <w:sz w:val="24"/>
              </w:rPr>
            </w:pPr>
            <w:r>
              <w:rPr>
                <w:sz w:val="24"/>
              </w:rPr>
              <w:t>0</w:t>
            </w:r>
          </w:p>
        </w:tc>
        <w:tc>
          <w:tcPr>
            <w:tcW w:w="1658" w:type="dxa"/>
            <w:vAlign w:val="center"/>
          </w:tcPr>
          <w:p w14:paraId="27F756A6">
            <w:pPr>
              <w:widowControl/>
              <w:jc w:val="center"/>
              <w:textAlignment w:val="center"/>
              <w:rPr>
                <w:sz w:val="24"/>
              </w:rPr>
            </w:pPr>
            <w:r>
              <w:rPr>
                <w:sz w:val="24"/>
              </w:rPr>
              <w:t>0</w:t>
            </w:r>
          </w:p>
        </w:tc>
        <w:tc>
          <w:tcPr>
            <w:tcW w:w="2113" w:type="dxa"/>
            <w:vAlign w:val="center"/>
          </w:tcPr>
          <w:p w14:paraId="0EC2C671">
            <w:pPr>
              <w:widowControl/>
              <w:jc w:val="center"/>
              <w:textAlignment w:val="center"/>
              <w:rPr>
                <w:sz w:val="24"/>
              </w:rPr>
            </w:pPr>
            <w:r>
              <w:rPr>
                <w:sz w:val="24"/>
              </w:rPr>
              <w:t>97.18</w:t>
            </w:r>
          </w:p>
        </w:tc>
      </w:tr>
      <w:tr w14:paraId="378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086" w:type="dxa"/>
            <w:vAlign w:val="center"/>
          </w:tcPr>
          <w:p w14:paraId="6F37FAFC">
            <w:pPr>
              <w:widowControl/>
              <w:jc w:val="center"/>
              <w:textAlignment w:val="center"/>
              <w:rPr>
                <w:rFonts w:eastAsia="仿宋_GB2312"/>
                <w:sz w:val="24"/>
              </w:rPr>
            </w:pPr>
            <w:r>
              <w:rPr>
                <w:rFonts w:eastAsia="仿宋_GB2312"/>
                <w:b/>
                <w:bCs/>
                <w:color w:val="000000"/>
                <w:kern w:val="0"/>
                <w:sz w:val="24"/>
              </w:rPr>
              <w:t>总计</w:t>
            </w:r>
          </w:p>
        </w:tc>
        <w:tc>
          <w:tcPr>
            <w:tcW w:w="1388" w:type="dxa"/>
            <w:vAlign w:val="center"/>
          </w:tcPr>
          <w:p w14:paraId="10C220D5">
            <w:pPr>
              <w:widowControl/>
              <w:jc w:val="center"/>
              <w:textAlignment w:val="center"/>
              <w:rPr>
                <w:rFonts w:eastAsia="仿宋_GB2312"/>
                <w:sz w:val="24"/>
              </w:rPr>
            </w:pPr>
            <w:r>
              <w:rPr>
                <w:sz w:val="24"/>
              </w:rPr>
              <w:t>1901.9</w:t>
            </w:r>
          </w:p>
        </w:tc>
        <w:tc>
          <w:tcPr>
            <w:tcW w:w="1733" w:type="dxa"/>
            <w:vAlign w:val="center"/>
          </w:tcPr>
          <w:p w14:paraId="63441C1B">
            <w:pPr>
              <w:widowControl/>
              <w:jc w:val="center"/>
              <w:textAlignment w:val="center"/>
              <w:rPr>
                <w:rFonts w:eastAsia="仿宋_GB2312"/>
                <w:sz w:val="24"/>
              </w:rPr>
            </w:pPr>
            <w:r>
              <w:rPr>
                <w:sz w:val="24"/>
              </w:rPr>
              <w:t>1193.23</w:t>
            </w:r>
          </w:p>
        </w:tc>
        <w:tc>
          <w:tcPr>
            <w:tcW w:w="1658" w:type="dxa"/>
            <w:vAlign w:val="center"/>
          </w:tcPr>
          <w:p w14:paraId="4A2EA27B">
            <w:pPr>
              <w:widowControl/>
              <w:jc w:val="center"/>
              <w:textAlignment w:val="center"/>
              <w:rPr>
                <w:rFonts w:eastAsia="仿宋_GB2312"/>
                <w:sz w:val="24"/>
              </w:rPr>
            </w:pPr>
            <w:r>
              <w:rPr>
                <w:sz w:val="24"/>
              </w:rPr>
              <w:t>3095.13</w:t>
            </w:r>
          </w:p>
        </w:tc>
        <w:tc>
          <w:tcPr>
            <w:tcW w:w="2113" w:type="dxa"/>
            <w:vAlign w:val="center"/>
          </w:tcPr>
          <w:p w14:paraId="5D906730">
            <w:pPr>
              <w:widowControl/>
              <w:jc w:val="center"/>
              <w:textAlignment w:val="center"/>
              <w:rPr>
                <w:rFonts w:eastAsia="仿宋_GB2312"/>
                <w:sz w:val="24"/>
              </w:rPr>
            </w:pPr>
            <w:r>
              <w:rPr>
                <w:sz w:val="24"/>
              </w:rPr>
              <w:t>2750.62</w:t>
            </w:r>
          </w:p>
        </w:tc>
      </w:tr>
    </w:tbl>
    <w:p w14:paraId="1CDCF8F1">
      <w:pPr>
        <w:pStyle w:val="6"/>
        <w:spacing w:before="156"/>
        <w:ind w:firstLine="0" w:firstLineChars="0"/>
        <w:rPr>
          <w:lang w:eastAsia="zh-CN"/>
        </w:rPr>
      </w:pPr>
    </w:p>
    <w:p w14:paraId="59EC959D">
      <w:pPr>
        <w:numPr>
          <w:ilvl w:val="0"/>
          <w:numId w:val="3"/>
        </w:numPr>
        <w:spacing w:line="590" w:lineRule="exact"/>
        <w:ind w:firstLine="562" w:firstLineChars="200"/>
        <w:contextualSpacing/>
        <w:rPr>
          <w:rFonts w:eastAsia="仿宋_GB2312"/>
          <w:spacing w:val="8"/>
          <w:sz w:val="28"/>
          <w:szCs w:val="28"/>
        </w:rPr>
      </w:pPr>
      <w:r>
        <w:rPr>
          <w:rFonts w:hAnsi="仿宋_GB2312" w:eastAsia="仿宋_GB2312"/>
          <w:b/>
          <w:sz w:val="28"/>
          <w:szCs w:val="28"/>
        </w:rPr>
        <w:t>结余分配和结转结余情况。</w:t>
      </w:r>
      <w:r>
        <w:rPr>
          <w:rFonts w:hAnsi="仿宋_GB2312" w:eastAsia="仿宋_GB2312"/>
          <w:sz w:val="28"/>
          <w:szCs w:val="28"/>
        </w:rPr>
        <w:t>遂宁市经济和信息化局</w:t>
      </w:r>
      <w:r>
        <w:rPr>
          <w:rFonts w:eastAsia="仿宋_GB2312"/>
          <w:spacing w:val="8"/>
          <w:sz w:val="28"/>
          <w:szCs w:val="28"/>
        </w:rPr>
        <w:t>2024</w:t>
      </w:r>
      <w:r>
        <w:rPr>
          <w:rFonts w:hAnsi="仿宋_GB2312" w:eastAsia="仿宋_GB2312"/>
          <w:spacing w:val="8"/>
          <w:sz w:val="28"/>
          <w:szCs w:val="28"/>
        </w:rPr>
        <w:t>年决算报表结转结余</w:t>
      </w:r>
      <w:r>
        <w:rPr>
          <w:rFonts w:eastAsia="仿宋_GB2312"/>
          <w:spacing w:val="8"/>
          <w:sz w:val="28"/>
          <w:szCs w:val="28"/>
        </w:rPr>
        <w:t>58</w:t>
      </w:r>
      <w:r>
        <w:rPr>
          <w:rFonts w:hAnsi="仿宋_GB2312" w:eastAsia="仿宋_GB2312"/>
          <w:spacing w:val="8"/>
          <w:sz w:val="28"/>
          <w:szCs w:val="28"/>
        </w:rPr>
        <w:t>万元。</w:t>
      </w:r>
    </w:p>
    <w:p w14:paraId="42805C93">
      <w:pPr>
        <w:widowControl/>
        <w:spacing w:line="590" w:lineRule="exact"/>
        <w:ind w:left="420" w:leftChars="200" w:firstLine="6480" w:firstLineChars="2700"/>
        <w:contextualSpacing/>
        <w:rPr>
          <w:rFonts w:eastAsia="仿宋_GB2312"/>
          <w:color w:val="000000"/>
          <w:kern w:val="0"/>
          <w:sz w:val="24"/>
          <w:shd w:val="clear" w:color="auto" w:fill="FFFFFF"/>
        </w:rPr>
      </w:pPr>
      <w:bookmarkStart w:id="115" w:name="OLE_LINK2"/>
      <w:r>
        <w:rPr>
          <w:rFonts w:eastAsia="仿宋_GB2312"/>
          <w:color w:val="000000"/>
          <w:kern w:val="0"/>
          <w:sz w:val="24"/>
          <w:shd w:val="clear" w:color="auto" w:fill="FFFFFF"/>
        </w:rPr>
        <w:t>单位：万元</w:t>
      </w:r>
    </w:p>
    <w:bookmarkEnd w:id="115"/>
    <w:tbl>
      <w:tblPr>
        <w:tblStyle w:val="19"/>
        <w:tblW w:w="8857" w:type="dxa"/>
        <w:tblInd w:w="91" w:type="dxa"/>
        <w:tblLayout w:type="fixed"/>
        <w:tblCellMar>
          <w:top w:w="0" w:type="dxa"/>
          <w:left w:w="108" w:type="dxa"/>
          <w:bottom w:w="0" w:type="dxa"/>
          <w:right w:w="108" w:type="dxa"/>
        </w:tblCellMar>
      </w:tblPr>
      <w:tblGrid>
        <w:gridCol w:w="2323"/>
        <w:gridCol w:w="1401"/>
        <w:gridCol w:w="1351"/>
        <w:gridCol w:w="1756"/>
        <w:gridCol w:w="2026"/>
      </w:tblGrid>
      <w:tr w14:paraId="0F103D84">
        <w:tblPrEx>
          <w:tblCellMar>
            <w:top w:w="0" w:type="dxa"/>
            <w:left w:w="108" w:type="dxa"/>
            <w:bottom w:w="0" w:type="dxa"/>
            <w:right w:w="108" w:type="dxa"/>
          </w:tblCellMar>
        </w:tblPrEx>
        <w:trPr>
          <w:trHeight w:val="533" w:hRule="atLeast"/>
        </w:trPr>
        <w:tc>
          <w:tcPr>
            <w:tcW w:w="23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7DDD3">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类别</w:t>
            </w:r>
          </w:p>
        </w:tc>
        <w:tc>
          <w:tcPr>
            <w:tcW w:w="140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B01D1">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年初预算</w:t>
            </w:r>
          </w:p>
        </w:tc>
        <w:tc>
          <w:tcPr>
            <w:tcW w:w="13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F29AC">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追加（减）</w:t>
            </w:r>
          </w:p>
        </w:tc>
        <w:tc>
          <w:tcPr>
            <w:tcW w:w="17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D7EC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调整后预算</w:t>
            </w:r>
          </w:p>
        </w:tc>
        <w:tc>
          <w:tcPr>
            <w:tcW w:w="20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CF6DE">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支出决算数</w:t>
            </w:r>
          </w:p>
        </w:tc>
      </w:tr>
      <w:tr w14:paraId="7867FF3C">
        <w:tblPrEx>
          <w:tblCellMar>
            <w:top w:w="0" w:type="dxa"/>
            <w:left w:w="108" w:type="dxa"/>
            <w:bottom w:w="0" w:type="dxa"/>
            <w:right w:w="108" w:type="dxa"/>
          </w:tblCellMar>
        </w:tblPrEx>
        <w:trPr>
          <w:trHeight w:val="419" w:hRule="atLeast"/>
        </w:trPr>
        <w:tc>
          <w:tcPr>
            <w:tcW w:w="2323" w:type="dxa"/>
            <w:tcBorders>
              <w:top w:val="nil"/>
              <w:left w:val="single" w:color="000000" w:sz="8" w:space="0"/>
              <w:bottom w:val="single" w:color="000000" w:sz="8" w:space="0"/>
              <w:right w:val="single" w:color="000000" w:sz="8" w:space="0"/>
            </w:tcBorders>
            <w:shd w:val="clear" w:color="auto" w:fill="auto"/>
            <w:vAlign w:val="center"/>
          </w:tcPr>
          <w:p w14:paraId="5CAC4FDD">
            <w:pPr>
              <w:widowControl/>
              <w:textAlignment w:val="center"/>
              <w:rPr>
                <w:rFonts w:eastAsia="仿宋_GB2312"/>
                <w:color w:val="000000"/>
                <w:sz w:val="24"/>
              </w:rPr>
            </w:pPr>
            <w:r>
              <w:rPr>
                <w:rFonts w:eastAsia="仿宋_GB2312"/>
                <w:color w:val="000000"/>
                <w:kern w:val="0"/>
                <w:sz w:val="24"/>
              </w:rPr>
              <w:t>年末结转和结余</w:t>
            </w:r>
          </w:p>
        </w:tc>
        <w:tc>
          <w:tcPr>
            <w:tcW w:w="1401" w:type="dxa"/>
            <w:tcBorders>
              <w:top w:val="nil"/>
              <w:left w:val="single" w:color="000000" w:sz="8" w:space="0"/>
              <w:bottom w:val="single" w:color="000000" w:sz="8" w:space="0"/>
              <w:right w:val="single" w:color="000000" w:sz="8" w:space="0"/>
            </w:tcBorders>
            <w:shd w:val="clear" w:color="auto" w:fill="auto"/>
            <w:vAlign w:val="center"/>
          </w:tcPr>
          <w:p w14:paraId="5F3828E6">
            <w:pPr>
              <w:jc w:val="center"/>
              <w:rPr>
                <w:rFonts w:eastAsia="仿宋_GB2312"/>
                <w:color w:val="000000"/>
                <w:sz w:val="24"/>
              </w:rPr>
            </w:pPr>
          </w:p>
        </w:tc>
        <w:tc>
          <w:tcPr>
            <w:tcW w:w="1351" w:type="dxa"/>
            <w:tcBorders>
              <w:top w:val="nil"/>
              <w:left w:val="single" w:color="000000" w:sz="8" w:space="0"/>
              <w:bottom w:val="single" w:color="000000" w:sz="8" w:space="0"/>
              <w:right w:val="single" w:color="000000" w:sz="8" w:space="0"/>
            </w:tcBorders>
            <w:shd w:val="clear" w:color="auto" w:fill="auto"/>
            <w:vAlign w:val="center"/>
          </w:tcPr>
          <w:p w14:paraId="75D25327">
            <w:pPr>
              <w:jc w:val="center"/>
              <w:rPr>
                <w:rFonts w:eastAsia="仿宋_GB2312"/>
                <w:color w:val="000000"/>
                <w:sz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B0116C9">
            <w:pPr>
              <w:jc w:val="center"/>
              <w:rPr>
                <w:rFonts w:eastAsia="仿宋_GB2312"/>
                <w:color w:val="000000"/>
                <w:sz w:val="24"/>
              </w:rPr>
            </w:pPr>
          </w:p>
        </w:tc>
        <w:tc>
          <w:tcPr>
            <w:tcW w:w="2026" w:type="dxa"/>
            <w:tcBorders>
              <w:top w:val="nil"/>
              <w:left w:val="single" w:color="000000" w:sz="8" w:space="0"/>
              <w:bottom w:val="single" w:color="000000" w:sz="8" w:space="0"/>
              <w:right w:val="single" w:color="000000" w:sz="8" w:space="0"/>
            </w:tcBorders>
            <w:shd w:val="clear" w:color="auto" w:fill="auto"/>
            <w:vAlign w:val="center"/>
          </w:tcPr>
          <w:p w14:paraId="0D23C2A4">
            <w:pPr>
              <w:widowControl/>
              <w:jc w:val="center"/>
              <w:textAlignment w:val="center"/>
              <w:rPr>
                <w:rFonts w:eastAsia="仿宋_GB2312"/>
                <w:color w:val="000000"/>
                <w:sz w:val="24"/>
              </w:rPr>
            </w:pPr>
            <w:r>
              <w:rPr>
                <w:color w:val="000000"/>
                <w:kern w:val="0"/>
                <w:sz w:val="24"/>
              </w:rPr>
              <w:t>58</w:t>
            </w:r>
          </w:p>
        </w:tc>
      </w:tr>
    </w:tbl>
    <w:p w14:paraId="0AE6CBBF">
      <w:pPr>
        <w:widowControl/>
        <w:spacing w:line="590" w:lineRule="exact"/>
        <w:contextualSpacing/>
        <w:rPr>
          <w:rFonts w:eastAsia="仿宋_GB2312"/>
          <w:color w:val="000000"/>
          <w:kern w:val="0"/>
          <w:sz w:val="33"/>
          <w:szCs w:val="33"/>
          <w:shd w:val="clear" w:color="auto" w:fill="FFFFFF"/>
          <w:lang w:val="zh-CN"/>
        </w:rPr>
      </w:pPr>
    </w:p>
    <w:p w14:paraId="1773B7A9">
      <w:pPr>
        <w:widowControl/>
        <w:spacing w:line="590" w:lineRule="exact"/>
        <w:ind w:firstLine="660" w:firstLineChars="200"/>
        <w:contextualSpacing/>
        <w:rPr>
          <w:rFonts w:eastAsia="黑体"/>
          <w:color w:val="000000" w:themeColor="text1"/>
          <w:kern w:val="0"/>
          <w:sz w:val="33"/>
          <w:szCs w:val="33"/>
          <w:shd w:val="clear" w:color="auto" w:fill="FFFFFF"/>
        </w:rPr>
      </w:pPr>
      <w:r>
        <w:rPr>
          <w:rFonts w:eastAsia="黑体"/>
          <w:color w:val="000000"/>
          <w:kern w:val="0"/>
          <w:sz w:val="33"/>
          <w:szCs w:val="33"/>
          <w:shd w:val="clear" w:color="auto" w:fill="FFFFFF"/>
        </w:rPr>
        <w:t>三、部门预算绩效分析</w:t>
      </w:r>
    </w:p>
    <w:p w14:paraId="52B0F11A">
      <w:pPr>
        <w:spacing w:line="590" w:lineRule="exact"/>
        <w:ind w:firstLine="663" w:firstLineChars="200"/>
        <w:contextualSpacing/>
        <w:rPr>
          <w:color w:val="000000"/>
          <w:kern w:val="0"/>
          <w:sz w:val="33"/>
          <w:szCs w:val="33"/>
          <w:shd w:val="clear" w:color="auto" w:fill="FFFFFF"/>
          <w:lang w:val="zh-CN"/>
        </w:rPr>
      </w:pPr>
      <w:r>
        <w:rPr>
          <w:rFonts w:eastAsia="楷体_GB2312"/>
          <w:b/>
          <w:bCs/>
          <w:color w:val="000000"/>
          <w:kern w:val="0"/>
          <w:sz w:val="33"/>
          <w:szCs w:val="33"/>
          <w:shd w:val="clear" w:color="auto" w:fill="FFFFFF"/>
          <w:lang w:val="zh-CN"/>
        </w:rPr>
        <w:t>（一）部门预算总体绩效分析。</w:t>
      </w:r>
    </w:p>
    <w:p w14:paraId="085E43A8">
      <w:pPr>
        <w:spacing w:line="590" w:lineRule="exact"/>
        <w:ind w:firstLine="560" w:firstLineChars="200"/>
        <w:contextualSpacing/>
        <w:rPr>
          <w:rFonts w:eastAsia="仿宋_GB2312"/>
          <w:color w:val="000000"/>
          <w:kern w:val="0"/>
          <w:sz w:val="28"/>
          <w:szCs w:val="28"/>
          <w:shd w:val="clear" w:color="auto" w:fill="FFFFFF"/>
          <w:lang w:val="zh-CN"/>
        </w:rPr>
      </w:pPr>
      <w:r>
        <w:rPr>
          <w:rFonts w:eastAsia="仿宋_GB2312"/>
          <w:color w:val="000000"/>
          <w:kern w:val="0"/>
          <w:sz w:val="28"/>
          <w:szCs w:val="28"/>
          <w:shd w:val="clear" w:color="auto" w:fill="FFFFFF"/>
        </w:rPr>
        <w:t>1.</w:t>
      </w:r>
      <w:r>
        <w:rPr>
          <w:rFonts w:hAnsi="仿宋_GB2312" w:eastAsia="仿宋_GB2312"/>
          <w:color w:val="000000"/>
          <w:kern w:val="0"/>
          <w:sz w:val="28"/>
          <w:szCs w:val="28"/>
          <w:shd w:val="clear" w:color="auto" w:fill="FFFFFF"/>
          <w:lang w:val="zh-CN"/>
        </w:rPr>
        <w:t>履职效能。</w:t>
      </w:r>
    </w:p>
    <w:p w14:paraId="26DAAF05">
      <w:pPr>
        <w:spacing w:line="590" w:lineRule="exact"/>
        <w:ind w:firstLine="592" w:firstLineChars="200"/>
        <w:contextualSpacing/>
        <w:rPr>
          <w:rFonts w:eastAsia="仿宋_GB2312"/>
          <w:spacing w:val="8"/>
          <w:sz w:val="28"/>
          <w:szCs w:val="28"/>
        </w:rPr>
      </w:pPr>
      <w:r>
        <w:rPr>
          <w:rFonts w:hAnsi="仿宋_GB2312" w:eastAsia="仿宋_GB2312"/>
          <w:spacing w:val="8"/>
          <w:sz w:val="28"/>
          <w:szCs w:val="28"/>
        </w:rPr>
        <w:t>（</w:t>
      </w:r>
      <w:r>
        <w:rPr>
          <w:rFonts w:eastAsia="仿宋_GB2312"/>
          <w:spacing w:val="8"/>
          <w:sz w:val="28"/>
          <w:szCs w:val="28"/>
        </w:rPr>
        <w:t>1</w:t>
      </w:r>
      <w:r>
        <w:rPr>
          <w:rFonts w:hAnsi="仿宋_GB2312" w:eastAsia="仿宋_GB2312"/>
          <w:spacing w:val="8"/>
          <w:sz w:val="28"/>
          <w:szCs w:val="28"/>
        </w:rPr>
        <w:t>）无线电管理履职效果</w:t>
      </w:r>
    </w:p>
    <w:p w14:paraId="70AF612C">
      <w:pPr>
        <w:spacing w:line="590" w:lineRule="exact"/>
        <w:ind w:firstLine="592" w:firstLineChars="200"/>
        <w:contextualSpacing/>
        <w:rPr>
          <w:rFonts w:eastAsia="仿宋_GB2312"/>
          <w:spacing w:val="8"/>
          <w:sz w:val="28"/>
          <w:szCs w:val="28"/>
          <w:lang w:val="zh-CN"/>
        </w:rPr>
      </w:pPr>
      <w:r>
        <w:rPr>
          <w:rFonts w:hAnsi="仿宋_GB2312" w:eastAsia="仿宋_GB2312"/>
          <w:spacing w:val="8"/>
          <w:sz w:val="28"/>
          <w:szCs w:val="28"/>
          <w:lang w:val="zh-CN"/>
        </w:rPr>
        <w:t>紧密结合国家频谱战略纲要、无线电管理和发展规划、建设实施方案，全面做好无线电监督管理，有效维护空中电波秩序，圆满完成了上级赋予的各项监管任务。年度拨付资金预算执行率达到</w:t>
      </w:r>
      <w:r>
        <w:rPr>
          <w:rFonts w:eastAsia="仿宋_GB2312"/>
          <w:spacing w:val="8"/>
          <w:sz w:val="28"/>
          <w:szCs w:val="28"/>
          <w:lang w:val="zh-CN"/>
        </w:rPr>
        <w:t>99%</w:t>
      </w:r>
      <w:r>
        <w:rPr>
          <w:rFonts w:hAnsi="仿宋_GB2312" w:eastAsia="仿宋_GB2312"/>
          <w:spacing w:val="8"/>
          <w:sz w:val="28"/>
          <w:szCs w:val="28"/>
          <w:lang w:val="zh-CN"/>
        </w:rPr>
        <w:t>，有效保障了全市电磁空间安全，促进了经济社会发展。</w:t>
      </w:r>
    </w:p>
    <w:p w14:paraId="5F54AEC8">
      <w:pPr>
        <w:spacing w:line="590" w:lineRule="exact"/>
        <w:ind w:firstLine="592" w:firstLineChars="200"/>
        <w:contextualSpacing/>
        <w:rPr>
          <w:rFonts w:eastAsia="仿宋_GB2312"/>
          <w:spacing w:val="8"/>
          <w:sz w:val="28"/>
          <w:szCs w:val="28"/>
        </w:rPr>
      </w:pPr>
      <w:r>
        <w:rPr>
          <w:rFonts w:hAnsi="仿宋_GB2312" w:eastAsia="仿宋_GB2312"/>
          <w:spacing w:val="8"/>
          <w:sz w:val="28"/>
          <w:szCs w:val="28"/>
          <w:lang w:val="zh-CN"/>
        </w:rPr>
        <w:t>（</w:t>
      </w:r>
      <w:r>
        <w:rPr>
          <w:rFonts w:eastAsia="仿宋_GB2312"/>
          <w:spacing w:val="8"/>
          <w:sz w:val="28"/>
          <w:szCs w:val="28"/>
        </w:rPr>
        <w:t>2</w:t>
      </w:r>
      <w:r>
        <w:rPr>
          <w:rFonts w:hAnsi="仿宋_GB2312" w:eastAsia="仿宋_GB2312"/>
          <w:spacing w:val="8"/>
          <w:sz w:val="28"/>
          <w:szCs w:val="28"/>
          <w:lang w:val="zh-CN"/>
        </w:rPr>
        <w:t>）</w:t>
      </w:r>
      <w:r>
        <w:rPr>
          <w:rFonts w:eastAsia="仿宋_GB2312"/>
          <w:spacing w:val="8"/>
          <w:sz w:val="28"/>
          <w:szCs w:val="28"/>
        </w:rPr>
        <w:t>3+3+3</w:t>
      </w:r>
      <w:r>
        <w:rPr>
          <w:rFonts w:hAnsi="仿宋_GB2312" w:eastAsia="仿宋_GB2312"/>
          <w:spacing w:val="8"/>
          <w:sz w:val="28"/>
          <w:szCs w:val="28"/>
        </w:rPr>
        <w:t>产业发展履职效果</w:t>
      </w:r>
    </w:p>
    <w:p w14:paraId="5745F4AD">
      <w:pPr>
        <w:spacing w:line="590" w:lineRule="exact"/>
        <w:ind w:firstLine="592" w:firstLineChars="200"/>
        <w:contextualSpacing/>
        <w:rPr>
          <w:rFonts w:eastAsia="仿宋_GB2312"/>
          <w:spacing w:val="8"/>
          <w:sz w:val="28"/>
          <w:szCs w:val="28"/>
          <w:lang w:val="zh-CN"/>
        </w:rPr>
      </w:pPr>
      <w:r>
        <w:rPr>
          <w:rFonts w:hAnsi="仿宋_GB2312" w:eastAsia="仿宋_GB2312"/>
          <w:spacing w:val="8"/>
          <w:sz w:val="28"/>
          <w:szCs w:val="28"/>
          <w:lang w:val="zh-CN"/>
        </w:rPr>
        <w:t>深入实施产业建圈强链行动，加快集群能级提升、产业价值攀升。新增规上工业企业</w:t>
      </w:r>
      <w:r>
        <w:rPr>
          <w:rFonts w:eastAsia="仿宋_GB2312"/>
          <w:spacing w:val="8"/>
          <w:sz w:val="28"/>
          <w:szCs w:val="28"/>
          <w:lang w:val="zh-CN"/>
        </w:rPr>
        <w:t>40</w:t>
      </w:r>
      <w:r>
        <w:rPr>
          <w:rFonts w:hAnsi="仿宋_GB2312" w:eastAsia="仿宋_GB2312"/>
          <w:spacing w:val="8"/>
          <w:sz w:val="28"/>
          <w:szCs w:val="28"/>
          <w:lang w:val="zh-CN"/>
        </w:rPr>
        <w:t>户，产业科室定期开展调查走访、组织产业专题会议，全市五大主导产业增加值增长</w:t>
      </w:r>
      <w:r>
        <w:rPr>
          <w:rFonts w:eastAsia="仿宋_GB2312"/>
          <w:spacing w:val="8"/>
          <w:sz w:val="28"/>
          <w:szCs w:val="28"/>
          <w:lang w:val="zh-CN"/>
        </w:rPr>
        <w:t>12.3%</w:t>
      </w:r>
      <w:r>
        <w:rPr>
          <w:rFonts w:hAnsi="仿宋_GB2312" w:eastAsia="仿宋_GB2312"/>
          <w:spacing w:val="8"/>
          <w:sz w:val="28"/>
          <w:szCs w:val="28"/>
          <w:lang w:val="zh-CN"/>
        </w:rPr>
        <w:t>。</w:t>
      </w:r>
    </w:p>
    <w:p w14:paraId="013569C9">
      <w:pPr>
        <w:spacing w:line="590" w:lineRule="exact"/>
        <w:ind w:firstLine="592" w:firstLineChars="200"/>
        <w:contextualSpacing/>
        <w:rPr>
          <w:rFonts w:eastAsia="仿宋_GB2312"/>
          <w:spacing w:val="8"/>
          <w:sz w:val="28"/>
          <w:szCs w:val="28"/>
          <w:lang w:val="zh-CN"/>
        </w:rPr>
      </w:pPr>
      <w:r>
        <w:rPr>
          <w:rFonts w:hAnsi="仿宋_GB2312" w:eastAsia="仿宋_GB2312"/>
          <w:spacing w:val="8"/>
          <w:sz w:val="28"/>
          <w:szCs w:val="28"/>
          <w:lang w:val="zh-CN"/>
        </w:rPr>
        <w:t>（</w:t>
      </w:r>
      <w:r>
        <w:rPr>
          <w:rFonts w:eastAsia="仿宋_GB2312"/>
          <w:spacing w:val="8"/>
          <w:sz w:val="28"/>
          <w:szCs w:val="28"/>
        </w:rPr>
        <w:t>3</w:t>
      </w:r>
      <w:r>
        <w:rPr>
          <w:rFonts w:hAnsi="仿宋_GB2312" w:eastAsia="仿宋_GB2312"/>
          <w:spacing w:val="8"/>
          <w:sz w:val="28"/>
          <w:szCs w:val="28"/>
          <w:lang w:val="zh-CN"/>
        </w:rPr>
        <w:t>）</w:t>
      </w:r>
      <w:r>
        <w:rPr>
          <w:rFonts w:hAnsi="仿宋_GB2312" w:eastAsia="仿宋_GB2312"/>
          <w:spacing w:val="8"/>
          <w:sz w:val="28"/>
          <w:szCs w:val="28"/>
        </w:rPr>
        <w:t>经济运行工作履职效果</w:t>
      </w:r>
    </w:p>
    <w:p w14:paraId="53F5C22E">
      <w:pPr>
        <w:spacing w:line="590" w:lineRule="exact"/>
        <w:ind w:firstLine="592" w:firstLineChars="200"/>
        <w:contextualSpacing/>
        <w:rPr>
          <w:rFonts w:eastAsia="仿宋_GB2312"/>
          <w:spacing w:val="8"/>
          <w:sz w:val="28"/>
          <w:szCs w:val="28"/>
          <w:lang w:val="zh-CN"/>
        </w:rPr>
      </w:pPr>
      <w:r>
        <w:rPr>
          <w:rFonts w:hAnsi="仿宋_GB2312" w:eastAsia="仿宋_GB2312"/>
          <w:spacing w:val="8"/>
          <w:sz w:val="28"/>
          <w:szCs w:val="28"/>
          <w:lang w:val="zh-CN"/>
        </w:rPr>
        <w:t>常态化开展工业经济运行调度等会议和企业实地调研，推动相关问题协调解决，英创力四期等</w:t>
      </w:r>
      <w:r>
        <w:rPr>
          <w:rFonts w:eastAsia="仿宋_GB2312"/>
          <w:spacing w:val="8"/>
          <w:sz w:val="28"/>
          <w:szCs w:val="28"/>
          <w:lang w:val="zh-CN"/>
        </w:rPr>
        <w:t>41</w:t>
      </w:r>
      <w:r>
        <w:rPr>
          <w:rFonts w:hAnsi="仿宋_GB2312" w:eastAsia="仿宋_GB2312"/>
          <w:spacing w:val="8"/>
          <w:sz w:val="28"/>
          <w:szCs w:val="28"/>
          <w:lang w:val="zh-CN"/>
        </w:rPr>
        <w:t>个项目实现开工，康佳鸿业</w:t>
      </w:r>
      <w:r>
        <w:rPr>
          <w:rFonts w:eastAsia="仿宋_GB2312"/>
          <w:spacing w:val="8"/>
          <w:sz w:val="28"/>
          <w:szCs w:val="28"/>
          <w:lang w:val="zh-CN"/>
        </w:rPr>
        <w:t>PCB</w:t>
      </w:r>
      <w:r>
        <w:rPr>
          <w:rFonts w:hAnsi="仿宋_GB2312" w:eastAsia="仿宋_GB2312"/>
          <w:spacing w:val="8"/>
          <w:sz w:val="28"/>
          <w:szCs w:val="28"/>
          <w:lang w:val="zh-CN"/>
        </w:rPr>
        <w:t>印制电路板项目（一期）等</w:t>
      </w:r>
      <w:r>
        <w:rPr>
          <w:rFonts w:eastAsia="仿宋_GB2312"/>
          <w:spacing w:val="8"/>
          <w:sz w:val="28"/>
          <w:szCs w:val="28"/>
          <w:lang w:val="zh-CN"/>
        </w:rPr>
        <w:t>38</w:t>
      </w:r>
      <w:r>
        <w:rPr>
          <w:rFonts w:hAnsi="仿宋_GB2312" w:eastAsia="仿宋_GB2312"/>
          <w:spacing w:val="8"/>
          <w:sz w:val="28"/>
          <w:szCs w:val="28"/>
          <w:lang w:val="zh-CN"/>
        </w:rPr>
        <w:t>个项目竣工投产，净增省级以上专精特新企业</w:t>
      </w:r>
      <w:r>
        <w:rPr>
          <w:rFonts w:eastAsia="仿宋_GB2312"/>
          <w:spacing w:val="8"/>
          <w:sz w:val="28"/>
          <w:szCs w:val="28"/>
          <w:lang w:val="zh-CN"/>
        </w:rPr>
        <w:t>4</w:t>
      </w:r>
      <w:r>
        <w:rPr>
          <w:rFonts w:hAnsi="仿宋_GB2312" w:eastAsia="仿宋_GB2312"/>
          <w:spacing w:val="8"/>
          <w:sz w:val="28"/>
          <w:szCs w:val="28"/>
          <w:lang w:val="zh-CN"/>
        </w:rPr>
        <w:t>家。</w:t>
      </w:r>
    </w:p>
    <w:p w14:paraId="48B8219B">
      <w:pPr>
        <w:numPr>
          <w:ilvl w:val="0"/>
          <w:numId w:val="4"/>
        </w:numPr>
        <w:spacing w:line="590" w:lineRule="exact"/>
        <w:ind w:firstLine="592" w:firstLineChars="200"/>
        <w:contextualSpacing/>
        <w:rPr>
          <w:rFonts w:eastAsia="仿宋_GB2312"/>
          <w:spacing w:val="8"/>
          <w:sz w:val="28"/>
          <w:szCs w:val="28"/>
        </w:rPr>
      </w:pPr>
      <w:r>
        <w:rPr>
          <w:rFonts w:hAnsi="仿宋_GB2312" w:eastAsia="仿宋_GB2312"/>
          <w:spacing w:val="8"/>
          <w:sz w:val="28"/>
          <w:szCs w:val="28"/>
          <w:lang w:val="zh-CN"/>
        </w:rPr>
        <w:t>民营经济和中小企业工作</w:t>
      </w:r>
      <w:r>
        <w:rPr>
          <w:rFonts w:hAnsi="仿宋_GB2312" w:eastAsia="仿宋_GB2312"/>
          <w:spacing w:val="8"/>
          <w:sz w:val="28"/>
          <w:szCs w:val="28"/>
        </w:rPr>
        <w:t>履职效果</w:t>
      </w:r>
    </w:p>
    <w:p w14:paraId="53E86712">
      <w:pPr>
        <w:pStyle w:val="6"/>
        <w:spacing w:before="156"/>
        <w:ind w:firstLine="592"/>
        <w:rPr>
          <w:rFonts w:eastAsia="仿宋_GB2312"/>
          <w:spacing w:val="8"/>
          <w:sz w:val="28"/>
          <w:szCs w:val="28"/>
          <w:lang w:val="zh-CN" w:eastAsia="zh-CN"/>
        </w:rPr>
      </w:pPr>
      <w:r>
        <w:rPr>
          <w:rFonts w:hAnsi="仿宋_GB2312" w:eastAsia="仿宋_GB2312"/>
          <w:spacing w:val="8"/>
          <w:sz w:val="28"/>
          <w:szCs w:val="28"/>
          <w:lang w:val="zh-CN" w:eastAsia="zh-CN"/>
        </w:rPr>
        <w:t>时发布中小企业政策信息，开展</w:t>
      </w:r>
      <w:r>
        <w:rPr>
          <w:rFonts w:eastAsia="仿宋_GB2312"/>
          <w:spacing w:val="8"/>
          <w:sz w:val="28"/>
          <w:szCs w:val="28"/>
          <w:lang w:val="zh-CN" w:eastAsia="zh-CN"/>
        </w:rPr>
        <w:t>“</w:t>
      </w:r>
      <w:r>
        <w:rPr>
          <w:rFonts w:hAnsi="仿宋_GB2312" w:eastAsia="仿宋_GB2312"/>
          <w:spacing w:val="8"/>
          <w:sz w:val="28"/>
          <w:szCs w:val="28"/>
          <w:lang w:val="zh-CN" w:eastAsia="zh-CN"/>
        </w:rPr>
        <w:t>省十六条</w:t>
      </w:r>
      <w:r>
        <w:rPr>
          <w:rFonts w:eastAsia="仿宋_GB2312"/>
          <w:spacing w:val="8"/>
          <w:sz w:val="28"/>
          <w:szCs w:val="28"/>
          <w:lang w:val="zh-CN" w:eastAsia="zh-CN"/>
        </w:rPr>
        <w:t>”</w:t>
      </w:r>
      <w:r>
        <w:rPr>
          <w:rFonts w:hAnsi="仿宋_GB2312" w:eastAsia="仿宋_GB2312"/>
          <w:spacing w:val="8"/>
          <w:sz w:val="28"/>
          <w:szCs w:val="28"/>
          <w:lang w:val="zh-CN" w:eastAsia="zh-CN"/>
        </w:rPr>
        <w:t>、智改数转等政策激励措施的宣讲培训、组织开展专精特新企业培训，组织兑现企业培育资金</w:t>
      </w:r>
      <w:r>
        <w:rPr>
          <w:rFonts w:eastAsia="仿宋_GB2312"/>
          <w:spacing w:val="8"/>
          <w:sz w:val="28"/>
          <w:szCs w:val="28"/>
          <w:lang w:val="zh-CN" w:eastAsia="zh-CN"/>
        </w:rPr>
        <w:t>1300</w:t>
      </w:r>
      <w:r>
        <w:rPr>
          <w:rFonts w:hAnsi="仿宋_GB2312" w:eastAsia="仿宋_GB2312"/>
          <w:spacing w:val="8"/>
          <w:sz w:val="28"/>
          <w:szCs w:val="28"/>
          <w:lang w:val="zh-CN" w:eastAsia="zh-CN"/>
        </w:rPr>
        <w:t>余万元。</w:t>
      </w:r>
    </w:p>
    <w:p w14:paraId="67CBD311">
      <w:pPr>
        <w:spacing w:line="590" w:lineRule="exact"/>
        <w:ind w:firstLine="592" w:firstLineChars="200"/>
        <w:contextualSpacing/>
        <w:rPr>
          <w:rFonts w:eastAsia="仿宋_GB2312"/>
          <w:spacing w:val="8"/>
          <w:sz w:val="28"/>
          <w:szCs w:val="28"/>
          <w:lang w:val="zh-CN"/>
        </w:rPr>
      </w:pPr>
      <w:r>
        <w:rPr>
          <w:rFonts w:hAnsi="仿宋_GB2312" w:eastAsia="仿宋_GB2312"/>
          <w:spacing w:val="8"/>
          <w:sz w:val="28"/>
          <w:szCs w:val="28"/>
        </w:rPr>
        <w:t>根据《部门整体支出绩效自评打分表》的评分说明本项指标权重</w:t>
      </w:r>
      <w:r>
        <w:rPr>
          <w:rFonts w:eastAsia="仿宋_GB2312"/>
          <w:spacing w:val="8"/>
          <w:sz w:val="28"/>
          <w:szCs w:val="28"/>
        </w:rPr>
        <w:t>10</w:t>
      </w:r>
      <w:r>
        <w:rPr>
          <w:rFonts w:hAnsi="仿宋_GB2312" w:eastAsia="仿宋_GB2312"/>
          <w:spacing w:val="8"/>
          <w:sz w:val="28"/>
          <w:szCs w:val="28"/>
        </w:rPr>
        <w:t>分、得分</w:t>
      </w:r>
      <w:r>
        <w:rPr>
          <w:rFonts w:eastAsia="仿宋_GB2312"/>
          <w:spacing w:val="8"/>
          <w:sz w:val="28"/>
          <w:szCs w:val="28"/>
        </w:rPr>
        <w:t>10</w:t>
      </w:r>
      <w:r>
        <w:rPr>
          <w:rFonts w:hAnsi="仿宋_GB2312" w:eastAsia="仿宋_GB2312"/>
          <w:spacing w:val="8"/>
          <w:sz w:val="28"/>
          <w:szCs w:val="28"/>
        </w:rPr>
        <w:t>分。</w:t>
      </w:r>
    </w:p>
    <w:tbl>
      <w:tblPr>
        <w:tblStyle w:val="19"/>
        <w:tblW w:w="8939" w:type="dxa"/>
        <w:tblInd w:w="93" w:type="dxa"/>
        <w:tblLayout w:type="fixed"/>
        <w:tblCellMar>
          <w:top w:w="0" w:type="dxa"/>
          <w:left w:w="108" w:type="dxa"/>
          <w:bottom w:w="0" w:type="dxa"/>
          <w:right w:w="108" w:type="dxa"/>
        </w:tblCellMar>
      </w:tblPr>
      <w:tblGrid>
        <w:gridCol w:w="3579"/>
        <w:gridCol w:w="1603"/>
        <w:gridCol w:w="1792"/>
        <w:gridCol w:w="1965"/>
      </w:tblGrid>
      <w:tr w14:paraId="3BDA9FA6">
        <w:tblPrEx>
          <w:tblCellMar>
            <w:top w:w="0" w:type="dxa"/>
            <w:left w:w="108" w:type="dxa"/>
            <w:bottom w:w="0" w:type="dxa"/>
            <w:right w:w="108" w:type="dxa"/>
          </w:tblCellMar>
        </w:tblPrEx>
        <w:trPr>
          <w:trHeight w:val="312" w:hRule="atLeast"/>
        </w:trPr>
        <w:tc>
          <w:tcPr>
            <w:tcW w:w="3579"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F971DF">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项目名称</w:t>
            </w:r>
          </w:p>
        </w:tc>
        <w:tc>
          <w:tcPr>
            <w:tcW w:w="1603" w:type="dxa"/>
            <w:vMerge w:val="restart"/>
            <w:tcBorders>
              <w:top w:val="single" w:color="000000" w:sz="8" w:space="0"/>
              <w:left w:val="nil"/>
              <w:bottom w:val="single" w:color="000000" w:sz="8" w:space="0"/>
              <w:right w:val="single" w:color="000000" w:sz="8" w:space="0"/>
            </w:tcBorders>
            <w:shd w:val="clear" w:color="auto" w:fill="auto"/>
            <w:noWrap/>
            <w:vAlign w:val="center"/>
          </w:tcPr>
          <w:p w14:paraId="3039A317">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年初预算</w:t>
            </w:r>
          </w:p>
        </w:tc>
        <w:tc>
          <w:tcPr>
            <w:tcW w:w="1792" w:type="dxa"/>
            <w:vMerge w:val="restart"/>
            <w:tcBorders>
              <w:top w:val="single" w:color="000000" w:sz="8" w:space="0"/>
              <w:left w:val="nil"/>
              <w:bottom w:val="single" w:color="000000" w:sz="8" w:space="0"/>
              <w:right w:val="single" w:color="000000" w:sz="8" w:space="0"/>
            </w:tcBorders>
            <w:shd w:val="clear" w:color="auto" w:fill="auto"/>
            <w:noWrap/>
            <w:vAlign w:val="center"/>
          </w:tcPr>
          <w:p w14:paraId="659704AA">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决算</w:t>
            </w:r>
          </w:p>
        </w:tc>
        <w:tc>
          <w:tcPr>
            <w:tcW w:w="1965" w:type="dxa"/>
            <w:vMerge w:val="restart"/>
            <w:tcBorders>
              <w:top w:val="single" w:color="000000" w:sz="8" w:space="0"/>
              <w:left w:val="nil"/>
              <w:bottom w:val="single" w:color="000000" w:sz="8" w:space="0"/>
              <w:right w:val="single" w:color="000000" w:sz="8" w:space="0"/>
            </w:tcBorders>
            <w:shd w:val="clear" w:color="auto" w:fill="auto"/>
            <w:vAlign w:val="center"/>
          </w:tcPr>
          <w:p w14:paraId="28296F77">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执行率/平均执行率</w:t>
            </w:r>
          </w:p>
        </w:tc>
      </w:tr>
      <w:tr w14:paraId="1D7B6F4F">
        <w:tblPrEx>
          <w:tblCellMar>
            <w:top w:w="0" w:type="dxa"/>
            <w:left w:w="108" w:type="dxa"/>
            <w:bottom w:w="0" w:type="dxa"/>
            <w:right w:w="108" w:type="dxa"/>
          </w:tblCellMar>
        </w:tblPrEx>
        <w:trPr>
          <w:trHeight w:val="312" w:hRule="atLeast"/>
        </w:trPr>
        <w:tc>
          <w:tcPr>
            <w:tcW w:w="3579"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9674FA">
            <w:pPr>
              <w:jc w:val="center"/>
              <w:rPr>
                <w:rFonts w:eastAsia="仿宋_GB2312"/>
                <w:color w:val="000000"/>
                <w:sz w:val="22"/>
                <w:szCs w:val="22"/>
              </w:rPr>
            </w:pPr>
          </w:p>
        </w:tc>
        <w:tc>
          <w:tcPr>
            <w:tcW w:w="160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7414BCF">
            <w:pPr>
              <w:jc w:val="center"/>
              <w:rPr>
                <w:rFonts w:eastAsia="仿宋_GB2312"/>
                <w:color w:val="000000"/>
                <w:sz w:val="22"/>
                <w:szCs w:val="22"/>
              </w:rPr>
            </w:pPr>
          </w:p>
        </w:tc>
        <w:tc>
          <w:tcPr>
            <w:tcW w:w="179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2ED3037">
            <w:pPr>
              <w:jc w:val="center"/>
              <w:rPr>
                <w:rFonts w:eastAsia="仿宋_GB2312"/>
                <w:color w:val="000000"/>
                <w:sz w:val="22"/>
                <w:szCs w:val="22"/>
              </w:rPr>
            </w:pPr>
          </w:p>
        </w:tc>
        <w:tc>
          <w:tcPr>
            <w:tcW w:w="1965" w:type="dxa"/>
            <w:vMerge w:val="continue"/>
            <w:tcBorders>
              <w:top w:val="single" w:color="000000" w:sz="8" w:space="0"/>
              <w:left w:val="nil"/>
              <w:bottom w:val="single" w:color="000000" w:sz="8" w:space="0"/>
              <w:right w:val="single" w:color="000000" w:sz="8" w:space="0"/>
            </w:tcBorders>
            <w:shd w:val="clear" w:color="auto" w:fill="auto"/>
            <w:vAlign w:val="center"/>
          </w:tcPr>
          <w:p w14:paraId="54C34BD0">
            <w:pPr>
              <w:jc w:val="left"/>
              <w:rPr>
                <w:rFonts w:eastAsia="仿宋_GB2312"/>
                <w:color w:val="000000"/>
                <w:sz w:val="24"/>
              </w:rPr>
            </w:pPr>
          </w:p>
        </w:tc>
      </w:tr>
      <w:tr w14:paraId="27FF042C">
        <w:tblPrEx>
          <w:tblCellMar>
            <w:top w:w="0" w:type="dxa"/>
            <w:left w:w="108" w:type="dxa"/>
            <w:bottom w:w="0" w:type="dxa"/>
            <w:right w:w="108" w:type="dxa"/>
          </w:tblCellMar>
        </w:tblPrEx>
        <w:trPr>
          <w:trHeight w:val="410" w:hRule="atLeast"/>
        </w:trPr>
        <w:tc>
          <w:tcPr>
            <w:tcW w:w="3579" w:type="dxa"/>
            <w:tcBorders>
              <w:top w:val="nil"/>
              <w:left w:val="single" w:color="000000" w:sz="8" w:space="0"/>
              <w:bottom w:val="single" w:color="000000" w:sz="8" w:space="0"/>
              <w:right w:val="single" w:color="000000" w:sz="8" w:space="0"/>
            </w:tcBorders>
            <w:shd w:val="clear" w:color="auto" w:fill="auto"/>
            <w:noWrap/>
            <w:vAlign w:val="center"/>
          </w:tcPr>
          <w:p w14:paraId="35DFA590">
            <w:pPr>
              <w:widowControl/>
              <w:jc w:val="left"/>
              <w:textAlignment w:val="center"/>
              <w:rPr>
                <w:rFonts w:eastAsia="仿宋_GB2312"/>
                <w:color w:val="000000"/>
                <w:sz w:val="22"/>
                <w:szCs w:val="22"/>
              </w:rPr>
            </w:pPr>
            <w:bookmarkStart w:id="116" w:name="OLE_LINK4"/>
            <w:r>
              <w:rPr>
                <w:rFonts w:eastAsia="仿宋_GB2312"/>
                <w:color w:val="000000"/>
                <w:kern w:val="0"/>
                <w:sz w:val="22"/>
                <w:szCs w:val="22"/>
              </w:rPr>
              <w:t>体制结算-无线电管理经费</w:t>
            </w:r>
            <w:bookmarkEnd w:id="116"/>
          </w:p>
        </w:tc>
        <w:tc>
          <w:tcPr>
            <w:tcW w:w="1603" w:type="dxa"/>
            <w:tcBorders>
              <w:top w:val="nil"/>
              <w:left w:val="nil"/>
              <w:bottom w:val="single" w:color="000000" w:sz="8" w:space="0"/>
              <w:right w:val="single" w:color="000000" w:sz="8" w:space="0"/>
            </w:tcBorders>
            <w:shd w:val="clear" w:color="auto" w:fill="auto"/>
            <w:noWrap/>
            <w:vAlign w:val="center"/>
          </w:tcPr>
          <w:p w14:paraId="30EF8561">
            <w:pPr>
              <w:widowControl/>
              <w:jc w:val="center"/>
              <w:textAlignment w:val="center"/>
              <w:rPr>
                <w:rFonts w:eastAsia="仿宋_GB2312"/>
                <w:color w:val="000000"/>
                <w:sz w:val="22"/>
                <w:szCs w:val="22"/>
              </w:rPr>
            </w:pPr>
            <w:r>
              <w:rPr>
                <w:color w:val="000000"/>
                <w:kern w:val="0"/>
                <w:sz w:val="22"/>
                <w:szCs w:val="22"/>
              </w:rPr>
              <w:t>104.61</w:t>
            </w:r>
          </w:p>
        </w:tc>
        <w:tc>
          <w:tcPr>
            <w:tcW w:w="1792" w:type="dxa"/>
            <w:tcBorders>
              <w:top w:val="nil"/>
              <w:left w:val="nil"/>
              <w:bottom w:val="single" w:color="000000" w:sz="8" w:space="0"/>
              <w:right w:val="single" w:color="000000" w:sz="8" w:space="0"/>
            </w:tcBorders>
            <w:shd w:val="clear" w:color="auto" w:fill="auto"/>
            <w:noWrap/>
            <w:vAlign w:val="center"/>
          </w:tcPr>
          <w:p w14:paraId="77E97F30">
            <w:pPr>
              <w:widowControl/>
              <w:jc w:val="center"/>
              <w:textAlignment w:val="center"/>
              <w:rPr>
                <w:rFonts w:eastAsia="仿宋_GB2312"/>
                <w:color w:val="000000"/>
                <w:sz w:val="22"/>
                <w:szCs w:val="22"/>
              </w:rPr>
            </w:pPr>
            <w:r>
              <w:rPr>
                <w:color w:val="000000"/>
                <w:kern w:val="0"/>
                <w:sz w:val="22"/>
                <w:szCs w:val="22"/>
              </w:rPr>
              <w:t>104.53</w:t>
            </w:r>
          </w:p>
        </w:tc>
        <w:tc>
          <w:tcPr>
            <w:tcW w:w="1965" w:type="dxa"/>
            <w:tcBorders>
              <w:top w:val="nil"/>
              <w:left w:val="nil"/>
              <w:bottom w:val="single" w:color="000000" w:sz="8" w:space="0"/>
              <w:right w:val="single" w:color="000000" w:sz="8" w:space="0"/>
            </w:tcBorders>
            <w:shd w:val="clear" w:color="auto" w:fill="auto"/>
            <w:noWrap/>
            <w:vAlign w:val="center"/>
          </w:tcPr>
          <w:p w14:paraId="09DB1BFE">
            <w:pPr>
              <w:widowControl/>
              <w:jc w:val="center"/>
              <w:textAlignment w:val="center"/>
              <w:rPr>
                <w:rFonts w:eastAsia="仿宋_GB2312"/>
                <w:color w:val="000000"/>
                <w:sz w:val="22"/>
                <w:szCs w:val="22"/>
              </w:rPr>
            </w:pPr>
            <w:bookmarkStart w:id="117" w:name="OLE_LINK5"/>
            <w:r>
              <w:rPr>
                <w:color w:val="000000"/>
                <w:kern w:val="0"/>
                <w:sz w:val="22"/>
                <w:szCs w:val="22"/>
              </w:rPr>
              <w:t>99.92</w:t>
            </w:r>
            <w:r>
              <w:rPr>
                <w:rFonts w:eastAsia="仿宋_GB2312"/>
                <w:color w:val="000000"/>
                <w:kern w:val="0"/>
                <w:sz w:val="22"/>
                <w:szCs w:val="22"/>
              </w:rPr>
              <w:t>%</w:t>
            </w:r>
            <w:bookmarkEnd w:id="117"/>
          </w:p>
        </w:tc>
      </w:tr>
      <w:tr w14:paraId="19C35414">
        <w:tblPrEx>
          <w:tblCellMar>
            <w:top w:w="0" w:type="dxa"/>
            <w:left w:w="108" w:type="dxa"/>
            <w:bottom w:w="0" w:type="dxa"/>
            <w:right w:w="108" w:type="dxa"/>
          </w:tblCellMar>
        </w:tblPrEx>
        <w:trPr>
          <w:trHeight w:val="410" w:hRule="atLeast"/>
        </w:trPr>
        <w:tc>
          <w:tcPr>
            <w:tcW w:w="3579" w:type="dxa"/>
            <w:tcBorders>
              <w:top w:val="nil"/>
              <w:left w:val="single" w:color="000000" w:sz="8" w:space="0"/>
              <w:bottom w:val="single" w:color="auto" w:sz="4" w:space="0"/>
              <w:right w:val="single" w:color="000000" w:sz="8" w:space="0"/>
            </w:tcBorders>
            <w:shd w:val="clear" w:color="auto" w:fill="auto"/>
            <w:noWrap/>
            <w:vAlign w:val="center"/>
          </w:tcPr>
          <w:p w14:paraId="3D4A7E83">
            <w:pPr>
              <w:widowControl/>
              <w:jc w:val="left"/>
              <w:textAlignment w:val="center"/>
              <w:rPr>
                <w:rFonts w:eastAsia="仿宋_GB2312"/>
                <w:color w:val="000000"/>
                <w:sz w:val="22"/>
                <w:szCs w:val="22"/>
              </w:rPr>
            </w:pPr>
            <w:r>
              <w:rPr>
                <w:rFonts w:eastAsia="仿宋_GB2312"/>
                <w:color w:val="000000"/>
                <w:kern w:val="0"/>
                <w:sz w:val="22"/>
                <w:szCs w:val="22"/>
              </w:rPr>
              <w:t>经济运行工作经费</w:t>
            </w:r>
          </w:p>
        </w:tc>
        <w:tc>
          <w:tcPr>
            <w:tcW w:w="1603" w:type="dxa"/>
            <w:tcBorders>
              <w:top w:val="nil"/>
              <w:left w:val="nil"/>
              <w:bottom w:val="single" w:color="auto" w:sz="4" w:space="0"/>
              <w:right w:val="single" w:color="000000" w:sz="8" w:space="0"/>
            </w:tcBorders>
            <w:shd w:val="clear" w:color="auto" w:fill="auto"/>
            <w:noWrap/>
            <w:vAlign w:val="center"/>
          </w:tcPr>
          <w:p w14:paraId="6E743678">
            <w:pPr>
              <w:widowControl/>
              <w:jc w:val="center"/>
              <w:textAlignment w:val="center"/>
              <w:rPr>
                <w:rFonts w:eastAsia="仿宋_GB2312"/>
                <w:color w:val="000000"/>
                <w:sz w:val="22"/>
                <w:szCs w:val="22"/>
              </w:rPr>
            </w:pPr>
            <w:r>
              <w:rPr>
                <w:color w:val="000000"/>
                <w:kern w:val="0"/>
                <w:sz w:val="22"/>
                <w:szCs w:val="22"/>
              </w:rPr>
              <w:t>33.06</w:t>
            </w:r>
          </w:p>
        </w:tc>
        <w:tc>
          <w:tcPr>
            <w:tcW w:w="1792" w:type="dxa"/>
            <w:tcBorders>
              <w:top w:val="nil"/>
              <w:left w:val="nil"/>
              <w:bottom w:val="single" w:color="auto" w:sz="4" w:space="0"/>
              <w:right w:val="single" w:color="000000" w:sz="8" w:space="0"/>
            </w:tcBorders>
            <w:shd w:val="clear" w:color="auto" w:fill="auto"/>
            <w:noWrap/>
            <w:vAlign w:val="center"/>
          </w:tcPr>
          <w:p w14:paraId="5BBB4D26">
            <w:pPr>
              <w:widowControl/>
              <w:jc w:val="center"/>
              <w:textAlignment w:val="center"/>
              <w:rPr>
                <w:rFonts w:eastAsia="仿宋_GB2312"/>
                <w:color w:val="000000"/>
                <w:sz w:val="22"/>
                <w:szCs w:val="22"/>
              </w:rPr>
            </w:pPr>
            <w:r>
              <w:rPr>
                <w:color w:val="000000"/>
                <w:kern w:val="0"/>
                <w:sz w:val="22"/>
                <w:szCs w:val="22"/>
              </w:rPr>
              <w:t>33.06</w:t>
            </w:r>
          </w:p>
        </w:tc>
        <w:tc>
          <w:tcPr>
            <w:tcW w:w="1965" w:type="dxa"/>
            <w:tcBorders>
              <w:top w:val="nil"/>
              <w:left w:val="nil"/>
              <w:bottom w:val="single" w:color="auto" w:sz="4" w:space="0"/>
              <w:right w:val="single" w:color="000000" w:sz="8" w:space="0"/>
            </w:tcBorders>
            <w:shd w:val="clear" w:color="auto" w:fill="auto"/>
            <w:noWrap/>
            <w:vAlign w:val="center"/>
          </w:tcPr>
          <w:p w14:paraId="1554FCFA">
            <w:pPr>
              <w:widowControl/>
              <w:jc w:val="center"/>
              <w:textAlignment w:val="center"/>
              <w:rPr>
                <w:rFonts w:eastAsia="仿宋_GB2312"/>
                <w:color w:val="000000"/>
                <w:sz w:val="22"/>
                <w:szCs w:val="22"/>
              </w:rPr>
            </w:pPr>
            <w:r>
              <w:rPr>
                <w:rFonts w:eastAsia="仿宋_GB2312"/>
                <w:color w:val="000000"/>
                <w:kern w:val="0"/>
                <w:sz w:val="22"/>
                <w:szCs w:val="22"/>
              </w:rPr>
              <w:t>100%</w:t>
            </w:r>
          </w:p>
        </w:tc>
      </w:tr>
      <w:tr w14:paraId="07B776FE">
        <w:tblPrEx>
          <w:tblCellMar>
            <w:top w:w="0" w:type="dxa"/>
            <w:left w:w="108" w:type="dxa"/>
            <w:bottom w:w="0" w:type="dxa"/>
            <w:right w:w="108" w:type="dxa"/>
          </w:tblCellMar>
        </w:tblPrEx>
        <w:trPr>
          <w:trHeight w:val="820" w:hRule="atLeast"/>
        </w:trPr>
        <w:tc>
          <w:tcPr>
            <w:tcW w:w="3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B285A">
            <w:pPr>
              <w:widowControl/>
              <w:adjustRightInd w:val="0"/>
              <w:snapToGrid w:val="0"/>
              <w:jc w:val="left"/>
              <w:textAlignment w:val="center"/>
              <w:rPr>
                <w:rFonts w:eastAsia="仿宋_GB2312"/>
                <w:color w:val="000000"/>
                <w:sz w:val="22"/>
                <w:szCs w:val="22"/>
              </w:rPr>
            </w:pPr>
            <w:r>
              <w:rPr>
                <w:rFonts w:eastAsia="仿宋_GB2312"/>
                <w:color w:val="000000"/>
                <w:kern w:val="0"/>
                <w:sz w:val="22"/>
                <w:szCs w:val="22"/>
              </w:rPr>
              <w:t>3+3+3产业经费</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A76BD">
            <w:pPr>
              <w:widowControl/>
              <w:jc w:val="center"/>
              <w:textAlignment w:val="center"/>
              <w:rPr>
                <w:rFonts w:eastAsia="仿宋_GB2312"/>
                <w:color w:val="000000"/>
                <w:sz w:val="22"/>
                <w:szCs w:val="22"/>
              </w:rPr>
            </w:pPr>
            <w:r>
              <w:rPr>
                <w:color w:val="000000"/>
                <w:kern w:val="0"/>
                <w:sz w:val="22"/>
                <w:szCs w:val="22"/>
              </w:rPr>
              <w:t>28</w:t>
            </w:r>
          </w:p>
        </w:tc>
        <w:tc>
          <w:tcPr>
            <w:tcW w:w="1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3209E">
            <w:pPr>
              <w:widowControl/>
              <w:jc w:val="center"/>
              <w:textAlignment w:val="center"/>
              <w:rPr>
                <w:rFonts w:eastAsia="仿宋_GB2312"/>
                <w:color w:val="000000"/>
                <w:sz w:val="22"/>
                <w:szCs w:val="22"/>
              </w:rPr>
            </w:pPr>
            <w:r>
              <w:rPr>
                <w:color w:val="000000"/>
                <w:kern w:val="0"/>
                <w:sz w:val="22"/>
                <w:szCs w:val="22"/>
              </w:rPr>
              <w:t>27.92</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62175">
            <w:pPr>
              <w:widowControl/>
              <w:jc w:val="center"/>
              <w:textAlignment w:val="center"/>
              <w:rPr>
                <w:rFonts w:eastAsia="仿宋_GB2312"/>
                <w:color w:val="000000"/>
                <w:sz w:val="22"/>
                <w:szCs w:val="22"/>
              </w:rPr>
            </w:pPr>
            <w:r>
              <w:rPr>
                <w:color w:val="000000"/>
                <w:kern w:val="0"/>
                <w:sz w:val="22"/>
                <w:szCs w:val="22"/>
              </w:rPr>
              <w:t>99.73</w:t>
            </w:r>
            <w:r>
              <w:rPr>
                <w:rFonts w:eastAsia="仿宋_GB2312"/>
                <w:color w:val="000000"/>
                <w:kern w:val="0"/>
                <w:sz w:val="22"/>
                <w:szCs w:val="22"/>
              </w:rPr>
              <w:t>%</w:t>
            </w:r>
          </w:p>
        </w:tc>
      </w:tr>
      <w:tr w14:paraId="7F5970E5">
        <w:tblPrEx>
          <w:tblCellMar>
            <w:top w:w="0" w:type="dxa"/>
            <w:left w:w="108" w:type="dxa"/>
            <w:bottom w:w="0" w:type="dxa"/>
            <w:right w:w="108" w:type="dxa"/>
          </w:tblCellMar>
        </w:tblPrEx>
        <w:trPr>
          <w:trHeight w:val="820" w:hRule="atLeast"/>
        </w:trPr>
        <w:tc>
          <w:tcPr>
            <w:tcW w:w="35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545C2">
            <w:pPr>
              <w:widowControl/>
              <w:adjustRightInd w:val="0"/>
              <w:snapToGrid w:val="0"/>
              <w:jc w:val="left"/>
              <w:textAlignment w:val="center"/>
              <w:rPr>
                <w:rFonts w:eastAsia="仿宋_GB2312"/>
                <w:color w:val="000000"/>
                <w:kern w:val="0"/>
                <w:sz w:val="22"/>
                <w:szCs w:val="22"/>
              </w:rPr>
            </w:pPr>
            <w:r>
              <w:rPr>
                <w:rFonts w:eastAsia="仿宋_GB2312"/>
                <w:color w:val="000000"/>
                <w:kern w:val="0"/>
                <w:sz w:val="22"/>
                <w:szCs w:val="22"/>
              </w:rPr>
              <w:t>民营经济和中小企业工作经费</w:t>
            </w:r>
          </w:p>
        </w:tc>
        <w:tc>
          <w:tcPr>
            <w:tcW w:w="16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DDFB9">
            <w:pPr>
              <w:widowControl/>
              <w:jc w:val="center"/>
              <w:textAlignment w:val="center"/>
              <w:rPr>
                <w:rFonts w:eastAsia="仿宋_GB2312"/>
                <w:color w:val="000000"/>
                <w:kern w:val="0"/>
                <w:sz w:val="22"/>
                <w:szCs w:val="22"/>
              </w:rPr>
            </w:pPr>
            <w:r>
              <w:rPr>
                <w:color w:val="000000"/>
                <w:kern w:val="0"/>
                <w:sz w:val="22"/>
                <w:szCs w:val="22"/>
              </w:rPr>
              <w:t>23</w:t>
            </w:r>
          </w:p>
        </w:tc>
        <w:tc>
          <w:tcPr>
            <w:tcW w:w="1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FF892">
            <w:pPr>
              <w:widowControl/>
              <w:jc w:val="center"/>
              <w:textAlignment w:val="center"/>
              <w:rPr>
                <w:rFonts w:eastAsia="仿宋_GB2312"/>
                <w:color w:val="000000"/>
                <w:kern w:val="0"/>
                <w:sz w:val="22"/>
                <w:szCs w:val="22"/>
              </w:rPr>
            </w:pPr>
            <w:r>
              <w:rPr>
                <w:color w:val="000000"/>
                <w:kern w:val="0"/>
                <w:sz w:val="22"/>
                <w:szCs w:val="22"/>
              </w:rPr>
              <w:t>22.98</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0714B">
            <w:pPr>
              <w:widowControl/>
              <w:jc w:val="center"/>
              <w:textAlignment w:val="center"/>
              <w:rPr>
                <w:rFonts w:eastAsia="仿宋_GB2312"/>
                <w:color w:val="000000"/>
                <w:kern w:val="0"/>
                <w:sz w:val="22"/>
                <w:szCs w:val="22"/>
              </w:rPr>
            </w:pPr>
            <w:r>
              <w:rPr>
                <w:color w:val="000000"/>
                <w:kern w:val="0"/>
                <w:sz w:val="22"/>
                <w:szCs w:val="22"/>
              </w:rPr>
              <w:t>99.9%</w:t>
            </w:r>
          </w:p>
        </w:tc>
      </w:tr>
    </w:tbl>
    <w:p w14:paraId="7C59F731">
      <w:pPr>
        <w:numPr>
          <w:ilvl w:val="0"/>
          <w:numId w:val="5"/>
        </w:numPr>
        <w:spacing w:line="590" w:lineRule="exact"/>
        <w:ind w:firstLine="660" w:firstLineChars="200"/>
        <w:contextualSpacing/>
        <w:rPr>
          <w:rFonts w:eastAsia="楷体_GB2312"/>
          <w:color w:val="000000"/>
          <w:kern w:val="0"/>
          <w:sz w:val="33"/>
          <w:szCs w:val="33"/>
          <w:shd w:val="clear" w:color="auto" w:fill="FFFFFF"/>
          <w:lang w:val="zh-CN"/>
        </w:rPr>
      </w:pPr>
      <w:r>
        <w:rPr>
          <w:rFonts w:eastAsia="楷体_GB2312"/>
          <w:color w:val="000000"/>
          <w:kern w:val="0"/>
          <w:sz w:val="33"/>
          <w:szCs w:val="33"/>
          <w:shd w:val="clear" w:color="auto" w:fill="FFFFFF"/>
          <w:lang w:val="zh-CN"/>
        </w:rPr>
        <w:t>预算管理。</w:t>
      </w:r>
    </w:p>
    <w:p w14:paraId="0988ADB7">
      <w:pPr>
        <w:spacing w:line="590" w:lineRule="exact"/>
        <w:ind w:left="420" w:leftChars="200"/>
        <w:contextualSpacing/>
        <w:rPr>
          <w:rFonts w:eastAsia="仿宋_GB2312"/>
          <w:spacing w:val="8"/>
          <w:sz w:val="28"/>
          <w:szCs w:val="28"/>
          <w:lang w:val="zh-CN"/>
        </w:rPr>
      </w:pPr>
      <w:r>
        <w:rPr>
          <w:rFonts w:eastAsia="仿宋_GB2312"/>
          <w:spacing w:val="8"/>
          <w:sz w:val="28"/>
          <w:szCs w:val="28"/>
          <w:lang w:val="zh-CN"/>
        </w:rPr>
        <w:t>（</w:t>
      </w:r>
      <w:r>
        <w:rPr>
          <w:rFonts w:eastAsia="仿宋_GB2312"/>
          <w:spacing w:val="8"/>
          <w:sz w:val="28"/>
          <w:szCs w:val="28"/>
        </w:rPr>
        <w:t>1</w:t>
      </w:r>
      <w:r>
        <w:rPr>
          <w:rFonts w:eastAsia="仿宋_GB2312"/>
          <w:spacing w:val="8"/>
          <w:sz w:val="28"/>
          <w:szCs w:val="28"/>
          <w:lang w:val="zh-CN"/>
        </w:rPr>
        <w:t>）预算编制质量</w:t>
      </w:r>
    </w:p>
    <w:p w14:paraId="17EEEEA7">
      <w:pPr>
        <w:spacing w:line="590" w:lineRule="exact"/>
        <w:ind w:firstLine="592" w:firstLineChars="200"/>
        <w:contextualSpacing/>
        <w:rPr>
          <w:rFonts w:eastAsia="仿宋_GB2312"/>
          <w:spacing w:val="8"/>
          <w:sz w:val="28"/>
          <w:szCs w:val="28"/>
        </w:rPr>
      </w:pPr>
      <w:r>
        <w:rPr>
          <w:rFonts w:eastAsia="仿宋_GB2312"/>
          <w:spacing w:val="8"/>
          <w:sz w:val="28"/>
          <w:szCs w:val="28"/>
        </w:rPr>
        <w:t>根据《批复2024年部门预算》（遂财预（2024）4号）文件及2024年1-12月预算可执行情况表。本单位2024年偏离度</w:t>
      </w:r>
      <w:r>
        <w:rPr>
          <w:spacing w:val="8"/>
          <w:sz w:val="28"/>
          <w:szCs w:val="28"/>
        </w:rPr>
        <w:t>9.7</w:t>
      </w:r>
      <w:r>
        <w:rPr>
          <w:rFonts w:eastAsia="仿宋_GB2312"/>
          <w:spacing w:val="8"/>
          <w:sz w:val="28"/>
          <w:szCs w:val="28"/>
        </w:rPr>
        <w:t>%。根据《部门整体支出绩效自评打分表》的评分说明本项指标权重8分、得分7</w:t>
      </w:r>
      <w:r>
        <w:rPr>
          <w:spacing w:val="8"/>
          <w:sz w:val="28"/>
          <w:szCs w:val="28"/>
        </w:rPr>
        <w:t>.22</w:t>
      </w:r>
      <w:r>
        <w:rPr>
          <w:rFonts w:eastAsia="仿宋_GB2312"/>
          <w:spacing w:val="8"/>
          <w:sz w:val="28"/>
          <w:szCs w:val="28"/>
        </w:rPr>
        <w:t>分。</w:t>
      </w:r>
    </w:p>
    <w:p w14:paraId="648B1A17">
      <w:pPr>
        <w:pStyle w:val="43"/>
        <w:ind w:firstLine="6480" w:firstLineChars="2700"/>
        <w:rPr>
          <w:rFonts w:eastAsia="仿宋_GB2312"/>
          <w:sz w:val="24"/>
          <w:szCs w:val="22"/>
          <w:lang w:val="en-US"/>
        </w:rPr>
      </w:pPr>
      <w:r>
        <w:rPr>
          <w:rFonts w:eastAsia="仿宋_GB2312"/>
          <w:sz w:val="24"/>
          <w:szCs w:val="22"/>
          <w:lang w:val="en-US"/>
        </w:rPr>
        <w:t>单位：万元</w:t>
      </w:r>
    </w:p>
    <w:tbl>
      <w:tblPr>
        <w:tblStyle w:val="19"/>
        <w:tblW w:w="8938" w:type="dxa"/>
        <w:tblInd w:w="93" w:type="dxa"/>
        <w:tblLayout w:type="fixed"/>
        <w:tblCellMar>
          <w:top w:w="0" w:type="dxa"/>
          <w:left w:w="108" w:type="dxa"/>
          <w:bottom w:w="0" w:type="dxa"/>
          <w:right w:w="108" w:type="dxa"/>
        </w:tblCellMar>
      </w:tblPr>
      <w:tblGrid>
        <w:gridCol w:w="2403"/>
        <w:gridCol w:w="1886"/>
        <w:gridCol w:w="1802"/>
        <w:gridCol w:w="2847"/>
      </w:tblGrid>
      <w:tr w14:paraId="4E6C0D53">
        <w:tblPrEx>
          <w:tblCellMar>
            <w:top w:w="0" w:type="dxa"/>
            <w:left w:w="108" w:type="dxa"/>
            <w:bottom w:w="0" w:type="dxa"/>
            <w:right w:w="108" w:type="dxa"/>
          </w:tblCellMar>
        </w:tblPrEx>
        <w:trPr>
          <w:trHeight w:val="493"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832">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预算编制质量</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E22">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预算执行数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F00F">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预算数</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9C3A">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财政拨款预算偏离度</w:t>
            </w:r>
          </w:p>
        </w:tc>
      </w:tr>
      <w:tr w14:paraId="69EF035D">
        <w:tblPrEx>
          <w:tblCellMar>
            <w:top w:w="0" w:type="dxa"/>
            <w:left w:w="108" w:type="dxa"/>
            <w:bottom w:w="0" w:type="dxa"/>
            <w:right w:w="108" w:type="dxa"/>
          </w:tblCellMar>
        </w:tblPrEx>
        <w:trPr>
          <w:trHeight w:val="45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6CB">
            <w:pPr>
              <w:widowControl/>
              <w:jc w:val="left"/>
              <w:textAlignment w:val="center"/>
              <w:rPr>
                <w:rFonts w:eastAsia="仿宋_GB2312"/>
                <w:color w:val="000000"/>
                <w:sz w:val="22"/>
                <w:szCs w:val="22"/>
              </w:rPr>
            </w:pPr>
            <w:r>
              <w:rPr>
                <w:rFonts w:eastAsia="仿宋_GB2312"/>
                <w:color w:val="000000"/>
                <w:kern w:val="0"/>
                <w:sz w:val="22"/>
                <w:szCs w:val="22"/>
              </w:rPr>
              <w:t>财政拨款</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7443">
            <w:pPr>
              <w:widowControl/>
              <w:jc w:val="center"/>
              <w:textAlignment w:val="center"/>
              <w:rPr>
                <w:rFonts w:eastAsia="仿宋_GB2312"/>
                <w:color w:val="000000"/>
                <w:sz w:val="22"/>
                <w:szCs w:val="22"/>
              </w:rPr>
            </w:pPr>
            <w:r>
              <w:rPr>
                <w:color w:val="000000"/>
                <w:kern w:val="0"/>
                <w:sz w:val="22"/>
                <w:szCs w:val="22"/>
              </w:rPr>
              <w:t>2653.43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C913">
            <w:pPr>
              <w:widowControl/>
              <w:jc w:val="center"/>
              <w:textAlignment w:val="center"/>
              <w:rPr>
                <w:rFonts w:eastAsia="仿宋_GB2312"/>
                <w:color w:val="000000"/>
                <w:sz w:val="22"/>
                <w:szCs w:val="22"/>
              </w:rPr>
            </w:pPr>
            <w:r>
              <w:rPr>
                <w:color w:val="000000"/>
                <w:kern w:val="0"/>
                <w:sz w:val="22"/>
                <w:szCs w:val="22"/>
              </w:rPr>
              <w:t>2939.93</w:t>
            </w: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8C86">
            <w:pPr>
              <w:widowControl/>
              <w:jc w:val="center"/>
              <w:textAlignment w:val="center"/>
              <w:rPr>
                <w:rFonts w:eastAsia="仿宋_GB2312"/>
                <w:color w:val="000000"/>
                <w:sz w:val="22"/>
                <w:szCs w:val="22"/>
              </w:rPr>
            </w:pPr>
            <w:r>
              <w:rPr>
                <w:color w:val="000000"/>
                <w:kern w:val="0"/>
                <w:sz w:val="22"/>
                <w:szCs w:val="22"/>
              </w:rPr>
              <w:t>9.7</w:t>
            </w:r>
            <w:r>
              <w:rPr>
                <w:rFonts w:eastAsia="仿宋_GB2312"/>
                <w:color w:val="000000"/>
                <w:kern w:val="0"/>
                <w:sz w:val="22"/>
                <w:szCs w:val="22"/>
              </w:rPr>
              <w:t>%</w:t>
            </w:r>
          </w:p>
        </w:tc>
      </w:tr>
      <w:tr w14:paraId="7C4A9AD8">
        <w:tblPrEx>
          <w:tblCellMar>
            <w:top w:w="0" w:type="dxa"/>
            <w:left w:w="108" w:type="dxa"/>
            <w:bottom w:w="0" w:type="dxa"/>
            <w:right w:w="108" w:type="dxa"/>
          </w:tblCellMar>
        </w:tblPrEx>
        <w:trPr>
          <w:trHeight w:val="45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B67">
            <w:pPr>
              <w:widowControl/>
              <w:jc w:val="left"/>
              <w:textAlignment w:val="center"/>
              <w:rPr>
                <w:rFonts w:eastAsia="仿宋_GB2312"/>
                <w:color w:val="000000"/>
                <w:sz w:val="22"/>
                <w:szCs w:val="22"/>
              </w:rPr>
            </w:pPr>
            <w:r>
              <w:rPr>
                <w:rFonts w:eastAsia="仿宋_GB2312"/>
                <w:color w:val="000000"/>
                <w:kern w:val="0"/>
                <w:sz w:val="22"/>
                <w:szCs w:val="22"/>
              </w:rPr>
              <w:t>资产配置</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26E">
            <w:pPr>
              <w:jc w:val="center"/>
              <w:rPr>
                <w:rFonts w:eastAsia="仿宋_GB2312"/>
                <w:color w:val="000000"/>
                <w:sz w:val="22"/>
                <w:szCs w:val="22"/>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F5C9">
            <w:pPr>
              <w:jc w:val="center"/>
              <w:rPr>
                <w:rFonts w:eastAsia="仿宋_GB2312"/>
                <w:color w:val="000000"/>
                <w:sz w:val="22"/>
                <w:szCs w:val="22"/>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283">
            <w:pPr>
              <w:jc w:val="center"/>
              <w:rPr>
                <w:rFonts w:eastAsia="仿宋_GB2312"/>
                <w:color w:val="000000"/>
                <w:sz w:val="22"/>
                <w:szCs w:val="22"/>
              </w:rPr>
            </w:pPr>
          </w:p>
        </w:tc>
      </w:tr>
      <w:tr w14:paraId="443425AE">
        <w:trPr>
          <w:trHeight w:val="45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BC8">
            <w:pPr>
              <w:widowControl/>
              <w:jc w:val="left"/>
              <w:textAlignment w:val="center"/>
              <w:rPr>
                <w:rFonts w:eastAsia="仿宋_GB2312"/>
                <w:color w:val="000000"/>
                <w:sz w:val="22"/>
                <w:szCs w:val="22"/>
              </w:rPr>
            </w:pPr>
            <w:r>
              <w:rPr>
                <w:rFonts w:eastAsia="仿宋_GB2312"/>
                <w:color w:val="000000"/>
                <w:kern w:val="0"/>
                <w:sz w:val="22"/>
                <w:szCs w:val="22"/>
              </w:rPr>
              <w:t>政府采购</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110">
            <w:pPr>
              <w:rPr>
                <w:rFonts w:eastAsia="仿宋_GB2312"/>
                <w:color w:val="000000"/>
                <w:sz w:val="22"/>
                <w:szCs w:val="22"/>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DA6">
            <w:pPr>
              <w:rPr>
                <w:rFonts w:eastAsia="仿宋_GB2312"/>
                <w:color w:val="000000"/>
                <w:sz w:val="22"/>
                <w:szCs w:val="22"/>
              </w:rPr>
            </w:pPr>
          </w:p>
        </w:tc>
        <w:tc>
          <w:tcPr>
            <w:tcW w:w="2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0011">
            <w:pPr>
              <w:rPr>
                <w:rFonts w:eastAsia="仿宋_GB2312"/>
                <w:color w:val="000000"/>
                <w:sz w:val="22"/>
                <w:szCs w:val="22"/>
              </w:rPr>
            </w:pPr>
          </w:p>
        </w:tc>
      </w:tr>
      <w:tr w14:paraId="3AEEA7BD">
        <w:tblPrEx>
          <w:tblCellMar>
            <w:top w:w="0" w:type="dxa"/>
            <w:left w:w="108" w:type="dxa"/>
            <w:bottom w:w="0" w:type="dxa"/>
            <w:right w:w="108" w:type="dxa"/>
          </w:tblCellMar>
        </w:tblPrEx>
        <w:trPr>
          <w:trHeight w:val="80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DAA2">
            <w:pPr>
              <w:widowControl/>
              <w:adjustRightInd w:val="0"/>
              <w:snapToGrid w:val="0"/>
              <w:jc w:val="center"/>
              <w:textAlignment w:val="center"/>
              <w:rPr>
                <w:rFonts w:eastAsia="仿宋_GB2312"/>
                <w:color w:val="000000"/>
                <w:sz w:val="22"/>
                <w:szCs w:val="22"/>
              </w:rPr>
            </w:pPr>
            <w:r>
              <w:rPr>
                <w:rFonts w:eastAsia="仿宋_GB2312"/>
                <w:color w:val="000000"/>
                <w:kern w:val="0"/>
                <w:sz w:val="22"/>
                <w:szCs w:val="22"/>
              </w:rPr>
              <w:t>预算编制质量得分计算</w:t>
            </w:r>
          </w:p>
        </w:tc>
        <w:tc>
          <w:tcPr>
            <w:tcW w:w="6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37F8">
            <w:pPr>
              <w:widowControl/>
              <w:adjustRightInd w:val="0"/>
              <w:snapToGrid w:val="0"/>
              <w:jc w:val="center"/>
              <w:textAlignment w:val="center"/>
              <w:rPr>
                <w:rFonts w:eastAsia="仿宋_GB2312"/>
                <w:color w:val="000000"/>
                <w:sz w:val="22"/>
                <w:szCs w:val="22"/>
              </w:rPr>
            </w:pPr>
            <w:r>
              <w:rPr>
                <w:rFonts w:eastAsia="仿宋_GB2312"/>
                <w:color w:val="000000"/>
                <w:kern w:val="0"/>
                <w:sz w:val="22"/>
                <w:szCs w:val="22"/>
              </w:rPr>
              <w:t>（1-财政拨款预算偏离度）×100%×8。偏离度=|预算执行数-调整预算数|÷调整预算数。</w:t>
            </w:r>
          </w:p>
        </w:tc>
      </w:tr>
    </w:tbl>
    <w:p w14:paraId="649B1E3C">
      <w:pPr>
        <w:spacing w:line="590" w:lineRule="exact"/>
        <w:ind w:firstLine="452" w:firstLineChars="200"/>
        <w:contextualSpacing/>
        <w:rPr>
          <w:rFonts w:eastAsia="仿宋_GB2312"/>
          <w:spacing w:val="8"/>
          <w:sz w:val="28"/>
          <w:szCs w:val="28"/>
        </w:rPr>
      </w:pPr>
      <w:r>
        <w:rPr>
          <w:rFonts w:eastAsia="仿宋_GB2312"/>
          <w:spacing w:val="8"/>
          <w:lang w:val="zh-CN"/>
        </w:rPr>
        <w:t>（</w:t>
      </w:r>
      <w:r>
        <w:rPr>
          <w:rFonts w:eastAsia="仿宋_GB2312"/>
          <w:spacing w:val="8"/>
          <w:sz w:val="28"/>
          <w:szCs w:val="28"/>
        </w:rPr>
        <w:t>2</w:t>
      </w:r>
      <w:r>
        <w:rPr>
          <w:rFonts w:eastAsia="仿宋_GB2312"/>
          <w:spacing w:val="8"/>
          <w:sz w:val="28"/>
          <w:szCs w:val="28"/>
          <w:lang w:val="zh-CN"/>
        </w:rPr>
        <w:t>）</w:t>
      </w:r>
      <w:r>
        <w:rPr>
          <w:rFonts w:eastAsia="仿宋_GB2312"/>
          <w:spacing w:val="8"/>
          <w:sz w:val="28"/>
          <w:szCs w:val="28"/>
        </w:rPr>
        <w:t>支出执行进度</w:t>
      </w:r>
    </w:p>
    <w:p w14:paraId="346F3878">
      <w:pPr>
        <w:spacing w:line="590" w:lineRule="exact"/>
        <w:ind w:firstLine="592" w:firstLineChars="200"/>
        <w:contextualSpacing/>
        <w:rPr>
          <w:rFonts w:eastAsia="仿宋_GB2312"/>
          <w:spacing w:val="8"/>
          <w:sz w:val="28"/>
          <w:szCs w:val="28"/>
        </w:rPr>
      </w:pPr>
      <w:r>
        <w:rPr>
          <w:rFonts w:eastAsia="仿宋_GB2312"/>
          <w:spacing w:val="8"/>
          <w:sz w:val="28"/>
          <w:szCs w:val="28"/>
        </w:rPr>
        <w:t>根据《批复2024年部门预算》（遂财预（2024）4号）文件及2024年1-12月预算可执行情况表。本单位2024年偏离度</w:t>
      </w:r>
      <w:r>
        <w:rPr>
          <w:spacing w:val="8"/>
          <w:sz w:val="28"/>
          <w:szCs w:val="28"/>
        </w:rPr>
        <w:t>9.7</w:t>
      </w:r>
      <w:r>
        <w:rPr>
          <w:rFonts w:eastAsia="仿宋_GB2312"/>
          <w:spacing w:val="8"/>
          <w:sz w:val="28"/>
          <w:szCs w:val="28"/>
        </w:rPr>
        <w:t>%。根据《部门整体支出绩效自评打分表》的评分说明本项指标权重9分、得分</w:t>
      </w:r>
      <w:r>
        <w:rPr>
          <w:spacing w:val="8"/>
          <w:sz w:val="28"/>
          <w:szCs w:val="28"/>
        </w:rPr>
        <w:t>5</w:t>
      </w:r>
      <w:r>
        <w:rPr>
          <w:rFonts w:eastAsia="仿宋_GB2312"/>
          <w:spacing w:val="8"/>
          <w:sz w:val="28"/>
          <w:szCs w:val="28"/>
        </w:rPr>
        <w:t>分。</w:t>
      </w:r>
    </w:p>
    <w:p w14:paraId="7BB3086F">
      <w:pPr>
        <w:spacing w:line="600" w:lineRule="exact"/>
        <w:ind w:firstLine="6600" w:firstLineChars="2750"/>
        <w:rPr>
          <w:rFonts w:eastAsia="仿宋_GB2312"/>
          <w:sz w:val="24"/>
          <w:szCs w:val="21"/>
        </w:rPr>
      </w:pPr>
      <w:r>
        <w:rPr>
          <w:rFonts w:eastAsia="仿宋_GB2312"/>
          <w:sz w:val="24"/>
          <w:szCs w:val="21"/>
        </w:rPr>
        <w:t>单位：万元</w:t>
      </w:r>
    </w:p>
    <w:tbl>
      <w:tblPr>
        <w:tblStyle w:val="19"/>
        <w:tblW w:w="8918" w:type="dxa"/>
        <w:jc w:val="center"/>
        <w:tblLayout w:type="fixed"/>
        <w:tblCellMar>
          <w:top w:w="0" w:type="dxa"/>
          <w:left w:w="108" w:type="dxa"/>
          <w:bottom w:w="0" w:type="dxa"/>
          <w:right w:w="108" w:type="dxa"/>
        </w:tblCellMar>
      </w:tblPr>
      <w:tblGrid>
        <w:gridCol w:w="2257"/>
        <w:gridCol w:w="2048"/>
        <w:gridCol w:w="2169"/>
        <w:gridCol w:w="2444"/>
      </w:tblGrid>
      <w:tr w14:paraId="652AF8F5">
        <w:tblPrEx>
          <w:tblCellMar>
            <w:top w:w="0" w:type="dxa"/>
            <w:left w:w="108" w:type="dxa"/>
            <w:bottom w:w="0" w:type="dxa"/>
            <w:right w:w="108" w:type="dxa"/>
          </w:tblCellMar>
        </w:tblPrEx>
        <w:trPr>
          <w:trHeight w:val="347" w:hRule="atLeast"/>
          <w:jc w:val="center"/>
        </w:trPr>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DAA5">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资金类型</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591">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实际支出数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5E73">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D41A">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支出执行进度</w:t>
            </w:r>
          </w:p>
        </w:tc>
      </w:tr>
      <w:tr w14:paraId="1E4D7596">
        <w:tblPrEx>
          <w:tblCellMar>
            <w:top w:w="0" w:type="dxa"/>
            <w:left w:w="108" w:type="dxa"/>
            <w:bottom w:w="0" w:type="dxa"/>
            <w:right w:w="108" w:type="dxa"/>
          </w:tblCellMar>
        </w:tblPrEx>
        <w:trPr>
          <w:trHeight w:val="360" w:hRule="atLeast"/>
          <w:jc w:val="center"/>
        </w:trPr>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3AE">
            <w:pPr>
              <w:widowControl/>
              <w:jc w:val="center"/>
              <w:textAlignment w:val="center"/>
              <w:rPr>
                <w:rFonts w:eastAsia="仿宋_GB2312"/>
                <w:color w:val="000000"/>
                <w:sz w:val="22"/>
                <w:szCs w:val="22"/>
              </w:rPr>
            </w:pPr>
            <w:r>
              <w:rPr>
                <w:rFonts w:eastAsia="仿宋_GB2312"/>
                <w:color w:val="000000"/>
                <w:kern w:val="0"/>
                <w:sz w:val="22"/>
                <w:szCs w:val="22"/>
              </w:rPr>
              <w:t>专项预算项目</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C8FA">
            <w:pPr>
              <w:widowControl/>
              <w:jc w:val="center"/>
              <w:textAlignment w:val="center"/>
              <w:rPr>
                <w:rFonts w:eastAsia="仿宋_GB2312"/>
                <w:color w:val="000000"/>
                <w:sz w:val="22"/>
                <w:szCs w:val="22"/>
              </w:rPr>
            </w:pPr>
            <w:r>
              <w:rPr>
                <w:color w:val="000000"/>
                <w:sz w:val="22"/>
                <w:szCs w:val="22"/>
              </w:rPr>
              <w:t>123.85</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904C">
            <w:pPr>
              <w:widowControl/>
              <w:jc w:val="center"/>
              <w:textAlignment w:val="center"/>
              <w:rPr>
                <w:rFonts w:eastAsia="仿宋_GB2312"/>
                <w:color w:val="000000"/>
                <w:sz w:val="22"/>
                <w:szCs w:val="22"/>
              </w:rPr>
            </w:pPr>
            <w:r>
              <w:rPr>
                <w:color w:val="000000"/>
                <w:sz w:val="22"/>
                <w:szCs w:val="22"/>
              </w:rPr>
              <w:t>124.04</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6A27">
            <w:pPr>
              <w:widowControl/>
              <w:jc w:val="center"/>
              <w:textAlignment w:val="center"/>
              <w:rPr>
                <w:rFonts w:eastAsia="仿宋_GB2312"/>
                <w:color w:val="000000"/>
                <w:sz w:val="22"/>
                <w:szCs w:val="22"/>
              </w:rPr>
            </w:pPr>
            <w:r>
              <w:rPr>
                <w:color w:val="000000"/>
                <w:sz w:val="22"/>
                <w:szCs w:val="22"/>
              </w:rPr>
              <w:t>99.84%</w:t>
            </w:r>
          </w:p>
        </w:tc>
      </w:tr>
      <w:tr w14:paraId="5A8EA7E0">
        <w:tblPrEx>
          <w:tblCellMar>
            <w:top w:w="0" w:type="dxa"/>
            <w:left w:w="108" w:type="dxa"/>
            <w:bottom w:w="0" w:type="dxa"/>
            <w:right w:w="108" w:type="dxa"/>
          </w:tblCellMar>
        </w:tblPrEx>
        <w:trPr>
          <w:trHeight w:val="360" w:hRule="atLeast"/>
          <w:jc w:val="center"/>
        </w:trPr>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35EB">
            <w:pPr>
              <w:widowControl/>
              <w:jc w:val="center"/>
              <w:textAlignment w:val="center"/>
              <w:rPr>
                <w:rFonts w:eastAsia="仿宋_GB2312"/>
                <w:color w:val="000000"/>
                <w:kern w:val="0"/>
                <w:sz w:val="22"/>
                <w:szCs w:val="22"/>
              </w:rPr>
            </w:pPr>
            <w:r>
              <w:rPr>
                <w:color w:val="000000"/>
                <w:kern w:val="0"/>
                <w:sz w:val="22"/>
                <w:szCs w:val="22"/>
              </w:rPr>
              <w:t>中省预算项目</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7FA0">
            <w:pPr>
              <w:widowControl/>
              <w:jc w:val="center"/>
              <w:textAlignment w:val="center"/>
              <w:rPr>
                <w:rFonts w:eastAsia="仿宋_GB2312"/>
                <w:color w:val="000000"/>
                <w:kern w:val="0"/>
                <w:sz w:val="22"/>
                <w:szCs w:val="22"/>
              </w:rPr>
            </w:pPr>
            <w:r>
              <w:rPr>
                <w:color w:val="000000"/>
                <w:kern w:val="0"/>
                <w:sz w:val="22"/>
                <w:szCs w:val="22"/>
              </w:rPr>
              <w:t>42.7</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6E42">
            <w:pPr>
              <w:widowControl/>
              <w:jc w:val="center"/>
              <w:textAlignment w:val="center"/>
              <w:rPr>
                <w:rFonts w:eastAsia="仿宋_GB2312"/>
                <w:color w:val="000000"/>
                <w:kern w:val="0"/>
                <w:sz w:val="22"/>
                <w:szCs w:val="22"/>
              </w:rPr>
            </w:pPr>
            <w:r>
              <w:rPr>
                <w:color w:val="000000"/>
                <w:kern w:val="0"/>
                <w:sz w:val="22"/>
                <w:szCs w:val="22"/>
              </w:rPr>
              <w:t>63.8</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02C">
            <w:pPr>
              <w:widowControl/>
              <w:jc w:val="center"/>
              <w:textAlignment w:val="center"/>
              <w:rPr>
                <w:rFonts w:eastAsia="仿宋_GB2312"/>
                <w:color w:val="000000"/>
                <w:kern w:val="0"/>
                <w:sz w:val="22"/>
                <w:szCs w:val="22"/>
              </w:rPr>
            </w:pPr>
            <w:r>
              <w:rPr>
                <w:color w:val="000000"/>
                <w:kern w:val="0"/>
                <w:sz w:val="22"/>
                <w:szCs w:val="22"/>
              </w:rPr>
              <w:t>66.92%</w:t>
            </w:r>
          </w:p>
        </w:tc>
      </w:tr>
    </w:tbl>
    <w:p w14:paraId="0DA02191">
      <w:pPr>
        <w:spacing w:line="590" w:lineRule="exact"/>
        <w:ind w:firstLine="592" w:firstLineChars="200"/>
        <w:contextualSpacing/>
        <w:rPr>
          <w:rFonts w:eastAsia="仿宋_GB2312"/>
          <w:spacing w:val="8"/>
          <w:sz w:val="28"/>
          <w:szCs w:val="28"/>
        </w:rPr>
      </w:pPr>
      <w:r>
        <w:rPr>
          <w:spacing w:val="8"/>
          <w:sz w:val="28"/>
          <w:szCs w:val="28"/>
        </w:rPr>
        <w:t>（3）</w:t>
      </w:r>
      <w:r>
        <w:rPr>
          <w:rFonts w:eastAsia="仿宋_GB2312"/>
          <w:spacing w:val="8"/>
          <w:sz w:val="28"/>
          <w:szCs w:val="28"/>
        </w:rPr>
        <w:t>预算年终结余</w:t>
      </w:r>
    </w:p>
    <w:p w14:paraId="33296CBF">
      <w:pPr>
        <w:spacing w:line="590" w:lineRule="exact"/>
        <w:ind w:firstLine="592" w:firstLineChars="200"/>
        <w:contextualSpacing/>
        <w:rPr>
          <w:rFonts w:eastAsia="仿宋_GB2312"/>
          <w:spacing w:val="8"/>
          <w:sz w:val="28"/>
          <w:szCs w:val="28"/>
        </w:rPr>
      </w:pPr>
      <w:bookmarkStart w:id="118" w:name="OLE_LINK11"/>
      <w:r>
        <w:rPr>
          <w:rFonts w:eastAsia="仿宋_GB2312"/>
          <w:spacing w:val="8"/>
          <w:sz w:val="28"/>
          <w:szCs w:val="28"/>
        </w:rPr>
        <w:t>根据根据《批复2024年部门预算》（遂财预（2024）4号）文件及2024年1-12月预算可执行情况表及2024年部门决算表，2024年遂宁市</w:t>
      </w:r>
      <w:r>
        <w:rPr>
          <w:spacing w:val="8"/>
          <w:sz w:val="28"/>
          <w:szCs w:val="28"/>
        </w:rPr>
        <w:t>经济和信息化局</w:t>
      </w:r>
      <w:r>
        <w:rPr>
          <w:rFonts w:eastAsia="仿宋_GB2312"/>
          <w:spacing w:val="8"/>
          <w:sz w:val="28"/>
          <w:szCs w:val="28"/>
        </w:rPr>
        <w:t>调整后预算</w:t>
      </w:r>
      <w:r>
        <w:rPr>
          <w:spacing w:val="8"/>
          <w:sz w:val="28"/>
          <w:szCs w:val="28"/>
        </w:rPr>
        <w:t>2939.93</w:t>
      </w:r>
      <w:r>
        <w:rPr>
          <w:rFonts w:eastAsia="仿宋_GB2312"/>
          <w:spacing w:val="8"/>
          <w:sz w:val="28"/>
          <w:szCs w:val="28"/>
        </w:rPr>
        <w:t>万元，</w:t>
      </w:r>
      <w:r>
        <w:rPr>
          <w:spacing w:val="8"/>
          <w:sz w:val="28"/>
          <w:szCs w:val="28"/>
        </w:rPr>
        <w:t>决算2653.43</w:t>
      </w:r>
      <w:r>
        <w:rPr>
          <w:rFonts w:eastAsia="仿宋_GB2312"/>
          <w:spacing w:val="8"/>
          <w:sz w:val="28"/>
          <w:szCs w:val="28"/>
        </w:rPr>
        <w:t>万元，年终注销</w:t>
      </w:r>
      <w:r>
        <w:rPr>
          <w:spacing w:val="8"/>
          <w:sz w:val="28"/>
          <w:szCs w:val="28"/>
        </w:rPr>
        <w:t>286.5</w:t>
      </w:r>
      <w:r>
        <w:rPr>
          <w:rFonts w:eastAsia="仿宋_GB2312"/>
          <w:spacing w:val="8"/>
          <w:sz w:val="28"/>
          <w:szCs w:val="28"/>
        </w:rPr>
        <w:t>万元，整体预算结余率</w:t>
      </w:r>
      <w:r>
        <w:rPr>
          <w:spacing w:val="8"/>
          <w:sz w:val="28"/>
          <w:szCs w:val="28"/>
        </w:rPr>
        <w:t>9.7</w:t>
      </w:r>
      <w:r>
        <w:rPr>
          <w:rFonts w:eastAsia="仿宋_GB2312"/>
          <w:spacing w:val="8"/>
          <w:sz w:val="28"/>
          <w:szCs w:val="28"/>
        </w:rPr>
        <w:t>%，对照《部门整体支出绩效自评打分表》的评分说明对2024年预算年终结余进行自评打分。本项指标权重8分，自评得分7.</w:t>
      </w:r>
      <w:r>
        <w:rPr>
          <w:spacing w:val="8"/>
          <w:sz w:val="28"/>
          <w:szCs w:val="28"/>
        </w:rPr>
        <w:t>2</w:t>
      </w:r>
      <w:r>
        <w:rPr>
          <w:rFonts w:eastAsia="仿宋_GB2312"/>
          <w:spacing w:val="8"/>
          <w:sz w:val="28"/>
          <w:szCs w:val="28"/>
        </w:rPr>
        <w:t>2分。</w:t>
      </w:r>
    </w:p>
    <w:p w14:paraId="47224F8A">
      <w:pPr>
        <w:spacing w:line="590" w:lineRule="exact"/>
        <w:ind w:firstLine="592" w:firstLineChars="200"/>
        <w:contextualSpacing/>
        <w:rPr>
          <w:rFonts w:eastAsia="仿宋_GB2312"/>
          <w:spacing w:val="8"/>
          <w:sz w:val="28"/>
          <w:szCs w:val="28"/>
        </w:rPr>
      </w:pPr>
      <w:r>
        <w:rPr>
          <w:rFonts w:eastAsia="仿宋_GB2312"/>
          <w:spacing w:val="8"/>
          <w:sz w:val="28"/>
          <w:szCs w:val="28"/>
        </w:rPr>
        <w:t>（4）严控一般性支出</w:t>
      </w:r>
    </w:p>
    <w:p w14:paraId="3FB6BBB1">
      <w:pPr>
        <w:spacing w:line="590" w:lineRule="exact"/>
        <w:ind w:firstLine="592" w:firstLineChars="200"/>
        <w:contextualSpacing/>
        <w:rPr>
          <w:rFonts w:eastAsia="仿宋_GB2312"/>
          <w:sz w:val="24"/>
        </w:rPr>
      </w:pPr>
      <w:r>
        <w:rPr>
          <w:rFonts w:eastAsia="仿宋_GB2312"/>
          <w:spacing w:val="8"/>
          <w:sz w:val="28"/>
          <w:szCs w:val="28"/>
        </w:rPr>
        <w:t>根据根据《批复2024年部门预算》（遂财预（2024）4号）文件及2024年1-12月预算可执行情况表。根据《部门整体支出绩效自评打分表》的评分说明本项指标权重6分、得分4.8分。</w:t>
      </w:r>
    </w:p>
    <w:p w14:paraId="60880F32">
      <w:pPr>
        <w:pStyle w:val="43"/>
        <w:ind w:firstLine="7440" w:firstLineChars="3100"/>
        <w:rPr>
          <w:rFonts w:eastAsia="仿宋_GB2312"/>
          <w:kern w:val="2"/>
          <w:sz w:val="24"/>
          <w:szCs w:val="24"/>
          <w:lang w:val="en-US"/>
        </w:rPr>
      </w:pPr>
      <w:r>
        <w:rPr>
          <w:rFonts w:eastAsia="仿宋_GB2312"/>
          <w:kern w:val="2"/>
          <w:sz w:val="24"/>
          <w:szCs w:val="24"/>
          <w:lang w:val="en-US"/>
        </w:rPr>
        <w:t>单位：万元</w:t>
      </w:r>
    </w:p>
    <w:tbl>
      <w:tblPr>
        <w:tblStyle w:val="19"/>
        <w:tblW w:w="8896" w:type="dxa"/>
        <w:tblInd w:w="93" w:type="dxa"/>
        <w:tblLayout w:type="fixed"/>
        <w:tblCellMar>
          <w:top w:w="0" w:type="dxa"/>
          <w:left w:w="108" w:type="dxa"/>
          <w:bottom w:w="0" w:type="dxa"/>
          <w:right w:w="108" w:type="dxa"/>
        </w:tblCellMar>
      </w:tblPr>
      <w:tblGrid>
        <w:gridCol w:w="1536"/>
        <w:gridCol w:w="1090"/>
        <w:gridCol w:w="1140"/>
        <w:gridCol w:w="1500"/>
        <w:gridCol w:w="1365"/>
        <w:gridCol w:w="1110"/>
        <w:gridCol w:w="1155"/>
      </w:tblGrid>
      <w:tr w14:paraId="2E0E82CC">
        <w:tblPrEx>
          <w:tblCellMar>
            <w:top w:w="0" w:type="dxa"/>
            <w:left w:w="108" w:type="dxa"/>
            <w:bottom w:w="0" w:type="dxa"/>
            <w:right w:w="108" w:type="dxa"/>
          </w:tblCellMar>
        </w:tblPrEx>
        <w:trPr>
          <w:trHeight w:val="492" w:hRule="atLeast"/>
        </w:trPr>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7727">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科目</w:t>
            </w: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F481">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2023年</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1D51">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2024年</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20A1">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较上年增减变化</w:t>
            </w:r>
          </w:p>
        </w:tc>
      </w:tr>
      <w:tr w14:paraId="44309CEF">
        <w:tblPrEx>
          <w:tblCellMar>
            <w:top w:w="0" w:type="dxa"/>
            <w:left w:w="108" w:type="dxa"/>
            <w:bottom w:w="0" w:type="dxa"/>
            <w:right w:w="108" w:type="dxa"/>
          </w:tblCellMar>
        </w:tblPrEx>
        <w:trPr>
          <w:trHeight w:val="412" w:hRule="atLeast"/>
        </w:trPr>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C120">
            <w:pPr>
              <w:pStyle w:val="42"/>
              <w:adjustRightInd w:val="0"/>
              <w:snapToGrid w:val="0"/>
              <w:spacing w:line="240" w:lineRule="auto"/>
              <w:rPr>
                <w:rFonts w:eastAsia="黑体" w:cs="Times New Roman"/>
                <w:color w:val="auto"/>
                <w:sz w:val="21"/>
                <w:szCs w:val="21"/>
                <w:lang w:val="en-US"/>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56AD">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8E10">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决算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8288">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96A7">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决算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FA5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预算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F0BE">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决算</w:t>
            </w:r>
          </w:p>
        </w:tc>
      </w:tr>
      <w:tr w14:paraId="2528947A">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1A64">
            <w:pPr>
              <w:widowControl/>
              <w:jc w:val="center"/>
              <w:textAlignment w:val="center"/>
              <w:rPr>
                <w:rFonts w:eastAsia="仿宋_GB2312"/>
                <w:color w:val="000000"/>
                <w:kern w:val="0"/>
                <w:sz w:val="22"/>
                <w:szCs w:val="22"/>
              </w:rPr>
            </w:pPr>
            <w:r>
              <w:rPr>
                <w:rFonts w:eastAsia="仿宋_GB2312"/>
                <w:color w:val="000000"/>
                <w:kern w:val="0"/>
                <w:sz w:val="22"/>
                <w:szCs w:val="22"/>
              </w:rPr>
              <w:t xml:space="preserve"> “三公”经费支出</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2FE3">
            <w:pPr>
              <w:widowControl/>
              <w:jc w:val="center"/>
              <w:textAlignment w:val="center"/>
              <w:rPr>
                <w:rFonts w:eastAsia="仿宋_GB2312"/>
                <w:color w:val="000000"/>
                <w:sz w:val="22"/>
                <w:szCs w:val="22"/>
              </w:rPr>
            </w:pPr>
            <w:r>
              <w:rPr>
                <w:color w:val="000000"/>
                <w:sz w:val="22"/>
                <w:szCs w:val="22"/>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6F21">
            <w:pPr>
              <w:widowControl/>
              <w:jc w:val="center"/>
              <w:textAlignment w:val="center"/>
              <w:rPr>
                <w:rFonts w:eastAsia="仿宋_GB2312"/>
                <w:color w:val="000000"/>
                <w:sz w:val="22"/>
                <w:szCs w:val="22"/>
              </w:rPr>
            </w:pPr>
            <w:r>
              <w:rPr>
                <w:color w:val="000000"/>
                <w:sz w:val="22"/>
                <w:szCs w:val="22"/>
              </w:rPr>
              <w:t>20.67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3D84">
            <w:pPr>
              <w:widowControl/>
              <w:jc w:val="center"/>
              <w:textAlignment w:val="center"/>
              <w:rPr>
                <w:color w:val="000000"/>
                <w:sz w:val="22"/>
                <w:szCs w:val="22"/>
              </w:rPr>
            </w:pPr>
            <w:r>
              <w:rPr>
                <w:color w:val="000000"/>
                <w:sz w:val="22"/>
                <w:szCs w:val="22"/>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7FA0">
            <w:pPr>
              <w:widowControl/>
              <w:jc w:val="center"/>
              <w:textAlignment w:val="center"/>
              <w:rPr>
                <w:color w:val="000000"/>
                <w:sz w:val="22"/>
                <w:szCs w:val="22"/>
              </w:rPr>
            </w:pPr>
            <w:r>
              <w:rPr>
                <w:color w:val="000000"/>
                <w:sz w:val="22"/>
                <w:szCs w:val="22"/>
              </w:rPr>
              <w:t>18.14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063A">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4700">
            <w:pPr>
              <w:widowControl/>
              <w:jc w:val="center"/>
              <w:textAlignment w:val="center"/>
              <w:rPr>
                <w:rFonts w:eastAsia="仿宋_GB2312"/>
                <w:color w:val="000000"/>
                <w:sz w:val="22"/>
                <w:szCs w:val="22"/>
              </w:rPr>
            </w:pPr>
            <w:r>
              <w:rPr>
                <w:color w:val="000000"/>
                <w:sz w:val="22"/>
                <w:szCs w:val="22"/>
              </w:rPr>
              <w:t>-2.53</w:t>
            </w:r>
          </w:p>
        </w:tc>
      </w:tr>
      <w:tr w14:paraId="7F4E004C">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1497">
            <w:pPr>
              <w:widowControl/>
              <w:jc w:val="center"/>
              <w:textAlignment w:val="center"/>
              <w:rPr>
                <w:rFonts w:eastAsia="仿宋_GB2312"/>
                <w:color w:val="000000"/>
                <w:kern w:val="0"/>
                <w:sz w:val="22"/>
                <w:szCs w:val="22"/>
              </w:rPr>
            </w:pPr>
            <w:r>
              <w:rPr>
                <w:rFonts w:eastAsia="仿宋_GB2312"/>
                <w:color w:val="000000"/>
                <w:kern w:val="0"/>
                <w:sz w:val="22"/>
                <w:szCs w:val="22"/>
              </w:rPr>
              <w:t>其中：因公出国（境）费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AF2A">
            <w:pPr>
              <w:widowControl/>
              <w:jc w:val="center"/>
              <w:textAlignment w:val="center"/>
              <w:rPr>
                <w:rFonts w:eastAsia="仿宋_GB2312"/>
                <w:color w:val="000000"/>
                <w:sz w:val="22"/>
                <w:szCs w:val="22"/>
              </w:rPr>
            </w:pPr>
            <w:r>
              <w:rPr>
                <w:color w:val="000000"/>
                <w:sz w:val="22"/>
                <w:szCs w:val="22"/>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8FD6">
            <w:pPr>
              <w:widowControl/>
              <w:jc w:val="center"/>
              <w:textAlignment w:val="center"/>
              <w:rPr>
                <w:rFonts w:eastAsia="仿宋_GB2312"/>
                <w:color w:val="000000"/>
                <w:sz w:val="22"/>
                <w:szCs w:val="22"/>
              </w:rPr>
            </w:pPr>
            <w:r>
              <w:rPr>
                <w:color w:val="000000"/>
                <w:sz w:val="22"/>
                <w:szCs w:val="22"/>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1204">
            <w:pPr>
              <w:widowControl/>
              <w:jc w:val="center"/>
              <w:textAlignment w:val="center"/>
              <w:rPr>
                <w:color w:val="000000"/>
                <w:sz w:val="22"/>
                <w:szCs w:val="22"/>
              </w:rPr>
            </w:pPr>
            <w:r>
              <w:rPr>
                <w:color w:val="000000"/>
                <w:sz w:val="22"/>
                <w:szCs w:val="22"/>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6B5D">
            <w:pPr>
              <w:widowControl/>
              <w:jc w:val="center"/>
              <w:textAlignment w:val="center"/>
              <w:rPr>
                <w:color w:val="000000"/>
                <w:sz w:val="22"/>
                <w:szCs w:val="22"/>
              </w:rPr>
            </w:pPr>
            <w:r>
              <w:rPr>
                <w:color w:val="000000"/>
                <w:sz w:val="22"/>
                <w:szCs w:val="22"/>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4EB3">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9BB2">
            <w:pPr>
              <w:widowControl/>
              <w:jc w:val="center"/>
              <w:textAlignment w:val="center"/>
              <w:rPr>
                <w:rFonts w:eastAsia="仿宋_GB2312"/>
                <w:color w:val="000000"/>
                <w:sz w:val="22"/>
                <w:szCs w:val="22"/>
              </w:rPr>
            </w:pPr>
            <w:r>
              <w:rPr>
                <w:color w:val="000000"/>
                <w:sz w:val="22"/>
                <w:szCs w:val="22"/>
              </w:rPr>
              <w:t>0</w:t>
            </w:r>
          </w:p>
        </w:tc>
      </w:tr>
      <w:tr w14:paraId="27ED138F">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9880">
            <w:pPr>
              <w:widowControl/>
              <w:jc w:val="center"/>
              <w:textAlignment w:val="center"/>
              <w:rPr>
                <w:rFonts w:eastAsia="仿宋_GB2312"/>
                <w:color w:val="000000"/>
                <w:kern w:val="0"/>
                <w:sz w:val="22"/>
                <w:szCs w:val="22"/>
              </w:rPr>
            </w:pPr>
            <w:r>
              <w:rPr>
                <w:rFonts w:eastAsia="仿宋_GB2312"/>
                <w:color w:val="000000"/>
                <w:kern w:val="0"/>
                <w:sz w:val="22"/>
                <w:szCs w:val="22"/>
              </w:rPr>
              <w:t>公务用车购置及运行维护费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D2FD">
            <w:pPr>
              <w:widowControl/>
              <w:jc w:val="center"/>
              <w:textAlignment w:val="center"/>
              <w:rPr>
                <w:rFonts w:eastAsia="仿宋_GB2312"/>
                <w:color w:val="000000"/>
                <w:sz w:val="22"/>
                <w:szCs w:val="22"/>
              </w:rPr>
            </w:pPr>
            <w:r>
              <w:rPr>
                <w:color w:val="000000"/>
                <w:sz w:val="22"/>
                <w:szCs w:val="22"/>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ED55">
            <w:pPr>
              <w:widowControl/>
              <w:jc w:val="center"/>
              <w:textAlignment w:val="center"/>
              <w:rPr>
                <w:rFonts w:eastAsia="仿宋_GB2312"/>
                <w:color w:val="000000"/>
                <w:sz w:val="22"/>
                <w:szCs w:val="22"/>
              </w:rPr>
            </w:pPr>
            <w:r>
              <w:rPr>
                <w:color w:val="000000"/>
                <w:sz w:val="22"/>
                <w:szCs w:val="22"/>
              </w:rPr>
              <w:t>13.95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C1A7">
            <w:pPr>
              <w:widowControl/>
              <w:jc w:val="center"/>
              <w:textAlignment w:val="center"/>
              <w:rPr>
                <w:color w:val="000000"/>
                <w:sz w:val="22"/>
                <w:szCs w:val="22"/>
              </w:rPr>
            </w:pPr>
            <w:r>
              <w:rPr>
                <w:color w:val="000000"/>
                <w:sz w:val="22"/>
                <w:szCs w:val="22"/>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5F96">
            <w:pPr>
              <w:widowControl/>
              <w:jc w:val="center"/>
              <w:textAlignment w:val="center"/>
              <w:rPr>
                <w:color w:val="000000"/>
                <w:sz w:val="22"/>
                <w:szCs w:val="22"/>
              </w:rPr>
            </w:pPr>
            <w:r>
              <w:rPr>
                <w:color w:val="000000"/>
                <w:sz w:val="22"/>
                <w:szCs w:val="22"/>
              </w:rPr>
              <w:t>13.48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CF1">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087F">
            <w:pPr>
              <w:widowControl/>
              <w:jc w:val="center"/>
              <w:textAlignment w:val="center"/>
              <w:rPr>
                <w:rFonts w:eastAsia="仿宋_GB2312"/>
                <w:color w:val="000000"/>
                <w:sz w:val="22"/>
                <w:szCs w:val="22"/>
              </w:rPr>
            </w:pPr>
            <w:r>
              <w:rPr>
                <w:color w:val="000000"/>
                <w:sz w:val="22"/>
                <w:szCs w:val="22"/>
              </w:rPr>
              <w:t>-0.47</w:t>
            </w:r>
          </w:p>
        </w:tc>
      </w:tr>
      <w:tr w14:paraId="3B6EB2AB">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137B">
            <w:pPr>
              <w:widowControl/>
              <w:jc w:val="center"/>
              <w:textAlignment w:val="center"/>
              <w:rPr>
                <w:rFonts w:eastAsia="仿宋_GB2312"/>
                <w:color w:val="000000"/>
                <w:kern w:val="0"/>
                <w:sz w:val="22"/>
                <w:szCs w:val="22"/>
              </w:rPr>
            </w:pPr>
            <w:r>
              <w:rPr>
                <w:rFonts w:eastAsia="仿宋_GB2312"/>
                <w:color w:val="000000"/>
                <w:kern w:val="0"/>
                <w:sz w:val="22"/>
                <w:szCs w:val="22"/>
              </w:rPr>
              <w:t>其中：公务用车购置费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24B7">
            <w:pPr>
              <w:widowControl/>
              <w:jc w:val="center"/>
              <w:textAlignment w:val="center"/>
              <w:rPr>
                <w:rFonts w:eastAsia="仿宋_GB2312"/>
                <w:color w:val="000000"/>
                <w:sz w:val="22"/>
                <w:szCs w:val="22"/>
              </w:rPr>
            </w:pPr>
            <w:r>
              <w:rPr>
                <w:color w:val="000000"/>
                <w:sz w:val="22"/>
                <w:szCs w:val="22"/>
              </w:rPr>
              <w:t>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4C33">
            <w:pPr>
              <w:widowControl/>
              <w:jc w:val="center"/>
              <w:textAlignment w:val="center"/>
              <w:rPr>
                <w:rFonts w:eastAsia="仿宋_GB2312"/>
                <w:color w:val="000000"/>
                <w:sz w:val="22"/>
                <w:szCs w:val="22"/>
              </w:rPr>
            </w:pPr>
            <w:r>
              <w:rPr>
                <w:color w:val="000000"/>
                <w:sz w:val="22"/>
                <w:szCs w:val="22"/>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ACCE">
            <w:pPr>
              <w:widowControl/>
              <w:jc w:val="center"/>
              <w:textAlignment w:val="center"/>
              <w:rPr>
                <w:color w:val="000000"/>
                <w:sz w:val="22"/>
                <w:szCs w:val="22"/>
              </w:rPr>
            </w:pPr>
            <w:r>
              <w:rPr>
                <w:color w:val="000000"/>
                <w:sz w:val="22"/>
                <w:szCs w:val="22"/>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14E">
            <w:pPr>
              <w:widowControl/>
              <w:jc w:val="center"/>
              <w:textAlignment w:val="center"/>
              <w:rPr>
                <w:color w:val="000000"/>
                <w:sz w:val="22"/>
                <w:szCs w:val="22"/>
              </w:rPr>
            </w:pPr>
            <w:r>
              <w:rPr>
                <w:color w:val="000000"/>
                <w:sz w:val="22"/>
                <w:szCs w:val="22"/>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93B6">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C0C7">
            <w:pPr>
              <w:widowControl/>
              <w:jc w:val="center"/>
              <w:textAlignment w:val="center"/>
              <w:rPr>
                <w:rFonts w:eastAsia="仿宋_GB2312"/>
                <w:color w:val="000000"/>
                <w:sz w:val="22"/>
                <w:szCs w:val="22"/>
              </w:rPr>
            </w:pPr>
            <w:r>
              <w:rPr>
                <w:color w:val="000000"/>
                <w:sz w:val="22"/>
                <w:szCs w:val="22"/>
              </w:rPr>
              <w:t>0</w:t>
            </w:r>
          </w:p>
        </w:tc>
      </w:tr>
      <w:tr w14:paraId="6DAC3E58">
        <w:tblPrEx>
          <w:tblCellMar>
            <w:top w:w="0" w:type="dxa"/>
            <w:left w:w="108" w:type="dxa"/>
            <w:bottom w:w="0" w:type="dxa"/>
            <w:right w:w="108" w:type="dxa"/>
          </w:tblCellMar>
        </w:tblPrEx>
        <w:trPr>
          <w:trHeight w:val="847"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0077">
            <w:pPr>
              <w:widowControl/>
              <w:jc w:val="center"/>
              <w:textAlignment w:val="center"/>
              <w:rPr>
                <w:rFonts w:eastAsia="仿宋_GB2312"/>
                <w:color w:val="000000"/>
                <w:kern w:val="0"/>
                <w:sz w:val="22"/>
                <w:szCs w:val="22"/>
              </w:rPr>
            </w:pPr>
            <w:r>
              <w:rPr>
                <w:rFonts w:eastAsia="仿宋_GB2312"/>
                <w:color w:val="000000"/>
                <w:kern w:val="0"/>
                <w:sz w:val="22"/>
                <w:szCs w:val="22"/>
              </w:rPr>
              <w:t>公务用车运行维护费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DA5E">
            <w:pPr>
              <w:widowControl/>
              <w:jc w:val="center"/>
              <w:textAlignment w:val="center"/>
              <w:rPr>
                <w:rFonts w:eastAsia="仿宋_GB2312"/>
                <w:color w:val="000000"/>
                <w:sz w:val="22"/>
                <w:szCs w:val="22"/>
              </w:rPr>
            </w:pPr>
            <w:r>
              <w:rPr>
                <w:color w:val="000000"/>
                <w:sz w:val="22"/>
                <w:szCs w:val="22"/>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B758">
            <w:pPr>
              <w:widowControl/>
              <w:jc w:val="center"/>
              <w:textAlignment w:val="center"/>
              <w:rPr>
                <w:rFonts w:eastAsia="仿宋_GB2312"/>
                <w:color w:val="000000"/>
                <w:sz w:val="22"/>
                <w:szCs w:val="22"/>
              </w:rPr>
            </w:pPr>
            <w:r>
              <w:rPr>
                <w:color w:val="000000"/>
                <w:sz w:val="22"/>
                <w:szCs w:val="22"/>
              </w:rPr>
              <w:t>13.95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9F0">
            <w:pPr>
              <w:widowControl/>
              <w:jc w:val="center"/>
              <w:textAlignment w:val="center"/>
              <w:rPr>
                <w:color w:val="000000"/>
                <w:sz w:val="22"/>
                <w:szCs w:val="22"/>
              </w:rPr>
            </w:pPr>
            <w:r>
              <w:rPr>
                <w:color w:val="000000"/>
                <w:sz w:val="22"/>
                <w:szCs w:val="22"/>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63E1">
            <w:pPr>
              <w:widowControl/>
              <w:jc w:val="center"/>
              <w:textAlignment w:val="center"/>
              <w:rPr>
                <w:color w:val="000000"/>
                <w:sz w:val="22"/>
                <w:szCs w:val="22"/>
              </w:rPr>
            </w:pPr>
            <w:r>
              <w:rPr>
                <w:color w:val="000000"/>
                <w:sz w:val="22"/>
                <w:szCs w:val="22"/>
              </w:rPr>
              <w:t>13.48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B1BE">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0483">
            <w:pPr>
              <w:widowControl/>
              <w:jc w:val="center"/>
              <w:textAlignment w:val="center"/>
              <w:rPr>
                <w:rFonts w:eastAsia="仿宋_GB2312"/>
                <w:color w:val="000000"/>
                <w:sz w:val="22"/>
                <w:szCs w:val="22"/>
              </w:rPr>
            </w:pPr>
            <w:r>
              <w:rPr>
                <w:color w:val="000000"/>
                <w:sz w:val="22"/>
                <w:szCs w:val="22"/>
              </w:rPr>
              <w:t>-0.47</w:t>
            </w:r>
          </w:p>
        </w:tc>
      </w:tr>
      <w:tr w14:paraId="44E3FF26">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42E">
            <w:pPr>
              <w:widowControl/>
              <w:jc w:val="center"/>
              <w:textAlignment w:val="center"/>
              <w:rPr>
                <w:rFonts w:eastAsia="仿宋_GB2312"/>
                <w:color w:val="000000"/>
                <w:kern w:val="0"/>
                <w:sz w:val="22"/>
                <w:szCs w:val="22"/>
              </w:rPr>
            </w:pPr>
            <w:r>
              <w:rPr>
                <w:rFonts w:eastAsia="仿宋_GB2312"/>
                <w:color w:val="000000"/>
                <w:kern w:val="0"/>
                <w:sz w:val="22"/>
                <w:szCs w:val="22"/>
              </w:rPr>
              <w:t>公务接待费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01B3">
            <w:pPr>
              <w:widowControl/>
              <w:jc w:val="center"/>
              <w:textAlignment w:val="center"/>
              <w:rPr>
                <w:rFonts w:eastAsia="仿宋_GB2312"/>
                <w:color w:val="000000"/>
                <w:sz w:val="22"/>
                <w:szCs w:val="22"/>
              </w:rPr>
            </w:pPr>
            <w:r>
              <w:rPr>
                <w:color w:val="000000"/>
                <w:sz w:val="22"/>
                <w:szCs w:val="22"/>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814D">
            <w:pPr>
              <w:widowControl/>
              <w:jc w:val="center"/>
              <w:textAlignment w:val="center"/>
              <w:rPr>
                <w:rFonts w:eastAsia="仿宋_GB2312"/>
                <w:color w:val="000000"/>
                <w:sz w:val="22"/>
                <w:szCs w:val="22"/>
              </w:rPr>
            </w:pPr>
            <w:r>
              <w:rPr>
                <w:color w:val="000000"/>
                <w:sz w:val="22"/>
                <w:szCs w:val="22"/>
              </w:rPr>
              <w:t>6.72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20B1">
            <w:pPr>
              <w:widowControl/>
              <w:jc w:val="center"/>
              <w:textAlignment w:val="center"/>
              <w:rPr>
                <w:color w:val="000000"/>
                <w:sz w:val="22"/>
                <w:szCs w:val="22"/>
              </w:rPr>
            </w:pPr>
            <w:r>
              <w:rPr>
                <w:color w:val="000000"/>
                <w:sz w:val="22"/>
                <w:szCs w:val="22"/>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3624">
            <w:pPr>
              <w:widowControl/>
              <w:jc w:val="center"/>
              <w:textAlignment w:val="center"/>
              <w:rPr>
                <w:color w:val="000000"/>
                <w:sz w:val="22"/>
                <w:szCs w:val="22"/>
              </w:rPr>
            </w:pPr>
            <w:r>
              <w:rPr>
                <w:color w:val="000000"/>
                <w:sz w:val="22"/>
                <w:szCs w:val="22"/>
              </w:rPr>
              <w:t>4.66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3BE">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5C73">
            <w:pPr>
              <w:widowControl/>
              <w:jc w:val="center"/>
              <w:textAlignment w:val="center"/>
              <w:rPr>
                <w:rFonts w:eastAsia="仿宋_GB2312"/>
                <w:color w:val="000000"/>
                <w:sz w:val="22"/>
                <w:szCs w:val="22"/>
              </w:rPr>
            </w:pPr>
            <w:r>
              <w:rPr>
                <w:color w:val="000000"/>
                <w:sz w:val="22"/>
                <w:szCs w:val="22"/>
              </w:rPr>
              <w:t>-2.06</w:t>
            </w:r>
          </w:p>
        </w:tc>
      </w:tr>
      <w:tr w14:paraId="37A6FA79">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098B">
            <w:pPr>
              <w:widowControl/>
              <w:jc w:val="center"/>
              <w:textAlignment w:val="center"/>
              <w:rPr>
                <w:rFonts w:eastAsia="仿宋_GB2312"/>
                <w:color w:val="000000"/>
                <w:sz w:val="22"/>
                <w:szCs w:val="22"/>
              </w:rPr>
            </w:pPr>
            <w:r>
              <w:rPr>
                <w:rFonts w:eastAsia="仿宋_GB2312"/>
                <w:color w:val="000000"/>
                <w:kern w:val="0"/>
                <w:sz w:val="22"/>
                <w:szCs w:val="22"/>
              </w:rPr>
              <w:t>会议费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2302">
            <w:pPr>
              <w:widowControl/>
              <w:jc w:val="center"/>
              <w:textAlignment w:val="center"/>
              <w:rPr>
                <w:rFonts w:eastAsia="仿宋_GB2312"/>
                <w:color w:val="000000"/>
                <w:sz w:val="22"/>
                <w:szCs w:val="22"/>
              </w:rPr>
            </w:pPr>
            <w:r>
              <w:rPr>
                <w:color w:val="000000"/>
                <w:sz w:val="22"/>
                <w:szCs w:val="22"/>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5245">
            <w:pPr>
              <w:widowControl/>
              <w:jc w:val="center"/>
              <w:textAlignment w:val="center"/>
              <w:rPr>
                <w:rFonts w:eastAsia="仿宋_GB2312"/>
                <w:color w:val="000000"/>
                <w:sz w:val="22"/>
                <w:szCs w:val="22"/>
              </w:rPr>
            </w:pPr>
            <w:r>
              <w:rPr>
                <w:color w:val="000000"/>
                <w:sz w:val="22"/>
                <w:szCs w:val="22"/>
              </w:rPr>
              <w:t>6.9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4C60">
            <w:pPr>
              <w:widowControl/>
              <w:jc w:val="center"/>
              <w:textAlignment w:val="center"/>
              <w:rPr>
                <w:rFonts w:eastAsia="仿宋_GB2312"/>
                <w:color w:val="000000"/>
                <w:sz w:val="22"/>
                <w:szCs w:val="22"/>
              </w:rPr>
            </w:pPr>
            <w:r>
              <w:rPr>
                <w:color w:val="000000"/>
                <w:sz w:val="22"/>
                <w:szCs w:val="22"/>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531F">
            <w:pPr>
              <w:widowControl/>
              <w:jc w:val="center"/>
              <w:textAlignment w:val="center"/>
              <w:rPr>
                <w:rFonts w:eastAsia="仿宋_GB2312"/>
                <w:color w:val="000000"/>
                <w:sz w:val="22"/>
                <w:szCs w:val="22"/>
              </w:rPr>
            </w:pPr>
            <w:r>
              <w:rPr>
                <w:color w:val="000000"/>
                <w:sz w:val="22"/>
                <w:szCs w:val="22"/>
              </w:rPr>
              <w:t>6.31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7DBD">
            <w:pPr>
              <w:widowControl/>
              <w:jc w:val="center"/>
              <w:textAlignment w:val="center"/>
              <w:rPr>
                <w:rFonts w:eastAsia="仿宋_GB2312"/>
                <w:color w:val="000000"/>
                <w:sz w:val="22"/>
                <w:szCs w:val="22"/>
              </w:rPr>
            </w:pPr>
            <w:r>
              <w:rPr>
                <w:color w:val="000000"/>
                <w:sz w:val="22"/>
                <w:szCs w:val="22"/>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411">
            <w:pPr>
              <w:widowControl/>
              <w:jc w:val="center"/>
              <w:textAlignment w:val="center"/>
              <w:rPr>
                <w:rFonts w:eastAsia="仿宋_GB2312"/>
                <w:color w:val="000000"/>
                <w:sz w:val="22"/>
                <w:szCs w:val="22"/>
              </w:rPr>
            </w:pPr>
            <w:r>
              <w:rPr>
                <w:color w:val="000000"/>
                <w:sz w:val="22"/>
                <w:szCs w:val="22"/>
              </w:rPr>
              <w:t>0.59</w:t>
            </w:r>
          </w:p>
        </w:tc>
      </w:tr>
      <w:tr w14:paraId="3196A64F">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7592">
            <w:pPr>
              <w:widowControl/>
              <w:jc w:val="center"/>
              <w:textAlignment w:val="center"/>
              <w:rPr>
                <w:rFonts w:eastAsia="仿宋_GB2312"/>
                <w:color w:val="000000"/>
                <w:sz w:val="22"/>
                <w:szCs w:val="22"/>
              </w:rPr>
            </w:pPr>
            <w:r>
              <w:rPr>
                <w:rFonts w:eastAsia="仿宋_GB2312"/>
                <w:color w:val="000000"/>
                <w:kern w:val="0"/>
                <w:sz w:val="22"/>
                <w:szCs w:val="22"/>
              </w:rPr>
              <w:t>差旅费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3540">
            <w:pPr>
              <w:widowControl/>
              <w:jc w:val="center"/>
              <w:textAlignment w:val="center"/>
              <w:rPr>
                <w:rFonts w:eastAsia="仿宋_GB2312"/>
                <w:color w:val="000000"/>
                <w:sz w:val="22"/>
                <w:szCs w:val="22"/>
              </w:rPr>
            </w:pPr>
            <w:r>
              <w:rPr>
                <w:color w:val="000000"/>
                <w:sz w:val="22"/>
                <w:szCs w:val="22"/>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5628">
            <w:pPr>
              <w:widowControl/>
              <w:jc w:val="center"/>
              <w:textAlignment w:val="center"/>
              <w:rPr>
                <w:rFonts w:eastAsia="仿宋_GB2312"/>
                <w:color w:val="000000"/>
                <w:sz w:val="22"/>
                <w:szCs w:val="22"/>
              </w:rPr>
            </w:pPr>
            <w:r>
              <w:rPr>
                <w:color w:val="000000"/>
                <w:sz w:val="22"/>
                <w:szCs w:val="22"/>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E159">
            <w:pPr>
              <w:widowControl/>
              <w:jc w:val="center"/>
              <w:textAlignment w:val="center"/>
              <w:rPr>
                <w:rFonts w:eastAsia="仿宋_GB2312"/>
                <w:color w:val="000000"/>
                <w:sz w:val="22"/>
                <w:szCs w:val="22"/>
              </w:rPr>
            </w:pPr>
            <w:r>
              <w:rPr>
                <w:color w:val="000000"/>
                <w:sz w:val="22"/>
                <w:szCs w:val="22"/>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725B">
            <w:pPr>
              <w:widowControl/>
              <w:jc w:val="center"/>
              <w:textAlignment w:val="center"/>
              <w:rPr>
                <w:rFonts w:eastAsia="仿宋_GB2312"/>
                <w:color w:val="000000"/>
                <w:sz w:val="22"/>
                <w:szCs w:val="22"/>
              </w:rPr>
            </w:pPr>
            <w:r>
              <w:rPr>
                <w:color w:val="000000"/>
                <w:sz w:val="22"/>
                <w:szCs w:val="22"/>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713F">
            <w:pPr>
              <w:widowControl/>
              <w:jc w:val="center"/>
              <w:textAlignment w:val="center"/>
              <w:rPr>
                <w:rFonts w:eastAsia="仿宋_GB2312"/>
                <w:color w:val="000000"/>
                <w:sz w:val="22"/>
                <w:szCs w:val="22"/>
              </w:rPr>
            </w:pPr>
            <w:r>
              <w:rPr>
                <w:color w:val="000000"/>
                <w:sz w:val="22"/>
                <w:szCs w:val="22"/>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05B3">
            <w:pPr>
              <w:widowControl/>
              <w:jc w:val="center"/>
              <w:textAlignment w:val="center"/>
              <w:rPr>
                <w:rFonts w:eastAsia="仿宋_GB2312"/>
                <w:color w:val="000000"/>
                <w:sz w:val="22"/>
                <w:szCs w:val="22"/>
              </w:rPr>
            </w:pPr>
            <w:r>
              <w:rPr>
                <w:color w:val="000000"/>
                <w:sz w:val="22"/>
                <w:szCs w:val="22"/>
              </w:rPr>
              <w:t>0</w:t>
            </w:r>
          </w:p>
        </w:tc>
      </w:tr>
      <w:tr w14:paraId="73A9E754">
        <w:tblPrEx>
          <w:tblCellMar>
            <w:top w:w="0" w:type="dxa"/>
            <w:left w:w="108" w:type="dxa"/>
            <w:bottom w:w="0" w:type="dxa"/>
            <w:right w:w="108" w:type="dxa"/>
          </w:tblCellMar>
        </w:tblPrEx>
        <w:trPr>
          <w:trHeight w:val="270" w:hRule="atLeast"/>
        </w:trPr>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DDD7">
            <w:pPr>
              <w:widowControl/>
              <w:jc w:val="center"/>
              <w:textAlignment w:val="center"/>
              <w:rPr>
                <w:rFonts w:eastAsia="仿宋_GB2312"/>
                <w:color w:val="000000"/>
                <w:sz w:val="22"/>
                <w:szCs w:val="22"/>
              </w:rPr>
            </w:pPr>
            <w:r>
              <w:rPr>
                <w:rFonts w:eastAsia="仿宋_GB2312"/>
                <w:color w:val="000000"/>
                <w:kern w:val="0"/>
                <w:sz w:val="22"/>
                <w:szCs w:val="22"/>
              </w:rPr>
              <w:t>培训费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BDB4">
            <w:pPr>
              <w:widowControl/>
              <w:jc w:val="center"/>
              <w:textAlignment w:val="center"/>
              <w:rPr>
                <w:rFonts w:eastAsia="仿宋_GB2312"/>
                <w:color w:val="000000"/>
                <w:sz w:val="22"/>
                <w:szCs w:val="22"/>
              </w:rPr>
            </w:pPr>
            <w:r>
              <w:rPr>
                <w:color w:val="000000"/>
                <w:sz w:val="22"/>
                <w:szCs w:val="22"/>
              </w:rPr>
              <w:t>6.7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7A73">
            <w:pPr>
              <w:widowControl/>
              <w:jc w:val="center"/>
              <w:textAlignment w:val="center"/>
              <w:rPr>
                <w:rFonts w:eastAsia="仿宋_GB2312"/>
                <w:color w:val="000000"/>
                <w:sz w:val="22"/>
                <w:szCs w:val="22"/>
              </w:rPr>
            </w:pPr>
            <w:r>
              <w:rPr>
                <w:color w:val="000000"/>
                <w:sz w:val="22"/>
                <w:szCs w:val="22"/>
              </w:rPr>
              <w:t>6.7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0BBD">
            <w:pPr>
              <w:widowControl/>
              <w:jc w:val="center"/>
              <w:textAlignment w:val="center"/>
              <w:rPr>
                <w:rFonts w:eastAsia="仿宋_GB2312"/>
                <w:color w:val="000000"/>
                <w:sz w:val="22"/>
                <w:szCs w:val="22"/>
              </w:rPr>
            </w:pPr>
            <w:r>
              <w:rPr>
                <w:color w:val="000000"/>
                <w:sz w:val="22"/>
                <w:szCs w:val="22"/>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1062">
            <w:pPr>
              <w:widowControl/>
              <w:jc w:val="center"/>
              <w:textAlignment w:val="center"/>
              <w:rPr>
                <w:rFonts w:eastAsia="仿宋_GB2312"/>
                <w:color w:val="000000"/>
                <w:sz w:val="22"/>
                <w:szCs w:val="22"/>
              </w:rPr>
            </w:pPr>
            <w:r>
              <w:rPr>
                <w:color w:val="000000"/>
                <w:sz w:val="22"/>
                <w:szCs w:val="22"/>
              </w:rPr>
              <w:t>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EBFE">
            <w:pPr>
              <w:widowControl/>
              <w:jc w:val="center"/>
              <w:textAlignment w:val="center"/>
              <w:rPr>
                <w:rFonts w:eastAsia="仿宋_GB2312"/>
                <w:color w:val="000000"/>
                <w:sz w:val="22"/>
                <w:szCs w:val="22"/>
              </w:rPr>
            </w:pPr>
            <w:r>
              <w:rPr>
                <w:color w:val="000000"/>
                <w:sz w:val="22"/>
                <w:szCs w:val="22"/>
              </w:rPr>
              <w:t>-6.7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3BC1">
            <w:pPr>
              <w:widowControl/>
              <w:jc w:val="center"/>
              <w:textAlignment w:val="center"/>
              <w:rPr>
                <w:rFonts w:eastAsia="仿宋_GB2312"/>
                <w:color w:val="000000"/>
                <w:sz w:val="22"/>
                <w:szCs w:val="22"/>
              </w:rPr>
            </w:pPr>
            <w:r>
              <w:rPr>
                <w:color w:val="000000"/>
                <w:sz w:val="22"/>
                <w:szCs w:val="22"/>
              </w:rPr>
              <w:t>6.7</w:t>
            </w:r>
          </w:p>
        </w:tc>
      </w:tr>
      <w:bookmarkEnd w:id="118"/>
    </w:tbl>
    <w:p w14:paraId="6C383EDB"/>
    <w:p w14:paraId="7B8BD333">
      <w:pPr>
        <w:numPr>
          <w:ilvl w:val="0"/>
          <w:numId w:val="5"/>
        </w:numPr>
        <w:spacing w:line="590" w:lineRule="exact"/>
        <w:ind w:firstLine="660" w:firstLineChars="200"/>
        <w:contextualSpacing/>
        <w:rPr>
          <w:rFonts w:eastAsia="楷体_GB2312"/>
          <w:color w:val="000000"/>
          <w:kern w:val="0"/>
          <w:sz w:val="33"/>
          <w:szCs w:val="33"/>
          <w:shd w:val="clear" w:color="auto" w:fill="FFFFFF"/>
          <w:lang w:val="zh-CN"/>
        </w:rPr>
      </w:pPr>
      <w:r>
        <w:rPr>
          <w:rFonts w:eastAsia="楷体_GB2312"/>
          <w:color w:val="000000"/>
          <w:kern w:val="0"/>
          <w:sz w:val="33"/>
          <w:szCs w:val="33"/>
          <w:shd w:val="clear" w:color="auto" w:fill="FFFFFF"/>
          <w:lang w:val="zh-CN"/>
        </w:rPr>
        <w:t>资产管理。</w:t>
      </w:r>
    </w:p>
    <w:p w14:paraId="6E979AFC">
      <w:pPr>
        <w:spacing w:line="590" w:lineRule="exact"/>
        <w:ind w:left="420" w:leftChars="200"/>
        <w:contextualSpacing/>
        <w:rPr>
          <w:rFonts w:eastAsia="仿宋_GB2312"/>
          <w:spacing w:val="8"/>
          <w:sz w:val="28"/>
          <w:szCs w:val="28"/>
          <w:lang w:val="zh-CN"/>
        </w:rPr>
      </w:pPr>
      <w:r>
        <w:rPr>
          <w:rFonts w:eastAsia="仿宋_GB2312"/>
          <w:spacing w:val="8"/>
          <w:sz w:val="28"/>
          <w:szCs w:val="28"/>
          <w:lang w:val="zh-CN"/>
        </w:rPr>
        <w:t>（</w:t>
      </w:r>
      <w:r>
        <w:rPr>
          <w:rFonts w:eastAsia="仿宋_GB2312"/>
          <w:spacing w:val="8"/>
          <w:sz w:val="28"/>
          <w:szCs w:val="28"/>
        </w:rPr>
        <w:t>1</w:t>
      </w:r>
      <w:r>
        <w:rPr>
          <w:rFonts w:eastAsia="仿宋_GB2312"/>
          <w:spacing w:val="8"/>
          <w:sz w:val="28"/>
          <w:szCs w:val="28"/>
          <w:lang w:val="zh-CN"/>
        </w:rPr>
        <w:t>）人均资产变化率</w:t>
      </w:r>
    </w:p>
    <w:p w14:paraId="332F233D">
      <w:pPr>
        <w:spacing w:line="590" w:lineRule="exact"/>
        <w:ind w:firstLine="592" w:firstLineChars="200"/>
        <w:contextualSpacing/>
        <w:rPr>
          <w:rFonts w:eastAsia="仿宋_GB2312"/>
          <w:spacing w:val="8"/>
          <w:sz w:val="28"/>
          <w:szCs w:val="28"/>
        </w:rPr>
      </w:pPr>
      <w:r>
        <w:rPr>
          <w:rFonts w:eastAsia="仿宋_GB2312"/>
          <w:spacing w:val="8"/>
          <w:sz w:val="28"/>
          <w:szCs w:val="28"/>
        </w:rPr>
        <w:t>根据2024年部门行政事业性国有资产报表资料，本部门人均资产变化率-32.08%（其中2024年行政事业单位人均占有资产</w:t>
      </w:r>
      <w:r>
        <w:rPr>
          <w:spacing w:val="8"/>
          <w:sz w:val="28"/>
          <w:szCs w:val="28"/>
        </w:rPr>
        <w:t>6.51</w:t>
      </w:r>
      <w:r>
        <w:rPr>
          <w:rFonts w:eastAsia="仿宋_GB2312"/>
          <w:spacing w:val="8"/>
          <w:sz w:val="28"/>
          <w:szCs w:val="28"/>
        </w:rPr>
        <w:t>万元/人员、2023年行政事业单位人均占有资产</w:t>
      </w:r>
      <w:r>
        <w:rPr>
          <w:spacing w:val="8"/>
          <w:sz w:val="28"/>
          <w:szCs w:val="28"/>
        </w:rPr>
        <w:t>11.34</w:t>
      </w:r>
      <w:r>
        <w:rPr>
          <w:rFonts w:eastAsia="仿宋_GB2312"/>
          <w:spacing w:val="8"/>
          <w:sz w:val="28"/>
          <w:szCs w:val="28"/>
        </w:rPr>
        <w:t>万元/人员）。根据《部门整体支出绩效自评打分表》的评分说明本项指标权重3分、得分3分。</w:t>
      </w:r>
    </w:p>
    <w:p w14:paraId="676D698A">
      <w:pPr>
        <w:spacing w:line="590" w:lineRule="exact"/>
        <w:ind w:firstLine="7680" w:firstLineChars="3200"/>
        <w:contextualSpacing/>
        <w:rPr>
          <w:rFonts w:eastAsia="仿宋_GB2312"/>
          <w:sz w:val="24"/>
          <w:szCs w:val="21"/>
        </w:rPr>
      </w:pPr>
      <w:r>
        <w:rPr>
          <w:rFonts w:eastAsia="仿宋_GB2312"/>
          <w:sz w:val="24"/>
          <w:szCs w:val="21"/>
        </w:rPr>
        <w:t>单位：万元</w:t>
      </w:r>
    </w:p>
    <w:tbl>
      <w:tblPr>
        <w:tblStyle w:val="19"/>
        <w:tblW w:w="9216" w:type="dxa"/>
        <w:tblInd w:w="93" w:type="dxa"/>
        <w:tblLayout w:type="fixed"/>
        <w:tblCellMar>
          <w:top w:w="0" w:type="dxa"/>
          <w:left w:w="108" w:type="dxa"/>
          <w:bottom w:w="0" w:type="dxa"/>
          <w:right w:w="108" w:type="dxa"/>
        </w:tblCellMar>
      </w:tblPr>
      <w:tblGrid>
        <w:gridCol w:w="1278"/>
        <w:gridCol w:w="804"/>
        <w:gridCol w:w="1093"/>
        <w:gridCol w:w="955"/>
        <w:gridCol w:w="842"/>
        <w:gridCol w:w="873"/>
        <w:gridCol w:w="921"/>
        <w:gridCol w:w="1382"/>
        <w:gridCol w:w="1068"/>
      </w:tblGrid>
      <w:tr w14:paraId="407D29AD">
        <w:tblPrEx>
          <w:tblCellMar>
            <w:top w:w="0" w:type="dxa"/>
            <w:left w:w="108" w:type="dxa"/>
            <w:bottom w:w="0" w:type="dxa"/>
            <w:right w:w="108" w:type="dxa"/>
          </w:tblCellMar>
        </w:tblPrEx>
        <w:trPr>
          <w:trHeight w:val="312" w:hRule="atLeast"/>
        </w:trPr>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4715D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单位</w:t>
            </w:r>
          </w:p>
        </w:tc>
        <w:tc>
          <w:tcPr>
            <w:tcW w:w="804" w:type="dxa"/>
            <w:vMerge w:val="restart"/>
            <w:tcBorders>
              <w:top w:val="single" w:color="000000" w:sz="8" w:space="0"/>
              <w:left w:val="nil"/>
              <w:bottom w:val="single" w:color="000000" w:sz="8" w:space="0"/>
              <w:right w:val="single" w:color="000000" w:sz="8" w:space="0"/>
            </w:tcBorders>
            <w:shd w:val="clear" w:color="auto" w:fill="auto"/>
            <w:vAlign w:val="center"/>
          </w:tcPr>
          <w:p w14:paraId="384C52BE">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年份</w:t>
            </w:r>
          </w:p>
        </w:tc>
        <w:tc>
          <w:tcPr>
            <w:tcW w:w="1093" w:type="dxa"/>
            <w:vMerge w:val="restart"/>
            <w:tcBorders>
              <w:top w:val="single" w:color="000000" w:sz="8" w:space="0"/>
              <w:left w:val="nil"/>
              <w:bottom w:val="single" w:color="000000" w:sz="8" w:space="0"/>
              <w:right w:val="single" w:color="000000" w:sz="8" w:space="0"/>
            </w:tcBorders>
            <w:shd w:val="clear" w:color="auto" w:fill="auto"/>
            <w:vAlign w:val="center"/>
          </w:tcPr>
          <w:p w14:paraId="77611DCA">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固定资产净值</w:t>
            </w:r>
          </w:p>
        </w:tc>
        <w:tc>
          <w:tcPr>
            <w:tcW w:w="955" w:type="dxa"/>
            <w:vMerge w:val="restart"/>
            <w:tcBorders>
              <w:top w:val="single" w:color="000000" w:sz="8" w:space="0"/>
              <w:left w:val="nil"/>
              <w:bottom w:val="single" w:color="000000" w:sz="8" w:space="0"/>
              <w:right w:val="single" w:color="000000" w:sz="8" w:space="0"/>
            </w:tcBorders>
            <w:shd w:val="clear" w:color="auto" w:fill="auto"/>
            <w:vAlign w:val="center"/>
          </w:tcPr>
          <w:p w14:paraId="47439DA2">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无形资产净值</w:t>
            </w:r>
          </w:p>
        </w:tc>
        <w:tc>
          <w:tcPr>
            <w:tcW w:w="842" w:type="dxa"/>
            <w:vMerge w:val="restart"/>
            <w:tcBorders>
              <w:top w:val="single" w:color="000000" w:sz="8" w:space="0"/>
              <w:left w:val="nil"/>
              <w:bottom w:val="single" w:color="000000" w:sz="8" w:space="0"/>
              <w:right w:val="single" w:color="000000" w:sz="8" w:space="0"/>
            </w:tcBorders>
            <w:shd w:val="clear" w:color="auto" w:fill="auto"/>
            <w:vAlign w:val="center"/>
          </w:tcPr>
          <w:p w14:paraId="68BE3C7E">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总资产</w:t>
            </w:r>
          </w:p>
        </w:tc>
        <w:tc>
          <w:tcPr>
            <w:tcW w:w="873" w:type="dxa"/>
            <w:vMerge w:val="restart"/>
            <w:tcBorders>
              <w:top w:val="single" w:color="000000" w:sz="8" w:space="0"/>
              <w:left w:val="nil"/>
              <w:bottom w:val="single" w:color="000000" w:sz="8" w:space="0"/>
              <w:right w:val="single" w:color="000000" w:sz="8" w:space="0"/>
            </w:tcBorders>
            <w:shd w:val="clear" w:color="auto" w:fill="auto"/>
            <w:vAlign w:val="center"/>
          </w:tcPr>
          <w:p w14:paraId="25B5C6B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编制内实有人数</w:t>
            </w:r>
          </w:p>
        </w:tc>
        <w:tc>
          <w:tcPr>
            <w:tcW w:w="921" w:type="dxa"/>
            <w:vMerge w:val="restart"/>
            <w:tcBorders>
              <w:top w:val="single" w:color="000000" w:sz="8" w:space="0"/>
              <w:left w:val="nil"/>
              <w:bottom w:val="single" w:color="000000" w:sz="8" w:space="0"/>
              <w:right w:val="single" w:color="000000" w:sz="8" w:space="0"/>
            </w:tcBorders>
            <w:shd w:val="clear" w:color="auto" w:fill="auto"/>
            <w:vAlign w:val="center"/>
          </w:tcPr>
          <w:p w14:paraId="32D4FDF5">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人均资产</w:t>
            </w:r>
          </w:p>
        </w:tc>
        <w:tc>
          <w:tcPr>
            <w:tcW w:w="1382" w:type="dxa"/>
            <w:vMerge w:val="restart"/>
            <w:tcBorders>
              <w:top w:val="single" w:color="000000" w:sz="8" w:space="0"/>
              <w:left w:val="nil"/>
              <w:bottom w:val="single" w:color="000000" w:sz="8" w:space="0"/>
              <w:right w:val="single" w:color="000000" w:sz="8" w:space="0"/>
            </w:tcBorders>
            <w:shd w:val="clear" w:color="auto" w:fill="auto"/>
            <w:vAlign w:val="center"/>
          </w:tcPr>
          <w:p w14:paraId="5286652C">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人均资产变化率</w:t>
            </w:r>
          </w:p>
        </w:tc>
        <w:tc>
          <w:tcPr>
            <w:tcW w:w="1068" w:type="dxa"/>
            <w:vMerge w:val="restart"/>
            <w:tcBorders>
              <w:top w:val="single" w:color="000000" w:sz="8" w:space="0"/>
              <w:left w:val="nil"/>
              <w:bottom w:val="single" w:color="000000" w:sz="8" w:space="0"/>
              <w:right w:val="single" w:color="000000" w:sz="8" w:space="0"/>
            </w:tcBorders>
            <w:shd w:val="clear" w:color="auto" w:fill="auto"/>
            <w:vAlign w:val="center"/>
          </w:tcPr>
          <w:p w14:paraId="1A6BFF4C">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人均资产增长率</w:t>
            </w:r>
          </w:p>
        </w:tc>
      </w:tr>
      <w:tr w14:paraId="1FD0D296">
        <w:tblPrEx>
          <w:tblCellMar>
            <w:top w:w="0" w:type="dxa"/>
            <w:left w:w="108" w:type="dxa"/>
            <w:bottom w:w="0" w:type="dxa"/>
            <w:right w:w="108" w:type="dxa"/>
          </w:tblCellMar>
        </w:tblPrEx>
        <w:trPr>
          <w:trHeight w:val="415" w:hRule="atLeast"/>
        </w:trPr>
        <w:tc>
          <w:tcPr>
            <w:tcW w:w="12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5CAF31">
            <w:pPr>
              <w:jc w:val="center"/>
              <w:rPr>
                <w:rFonts w:eastAsia="仿宋_GB2312"/>
                <w:b/>
                <w:bCs/>
                <w:color w:val="000000"/>
                <w:sz w:val="22"/>
                <w:szCs w:val="22"/>
              </w:rPr>
            </w:pPr>
          </w:p>
        </w:tc>
        <w:tc>
          <w:tcPr>
            <w:tcW w:w="804" w:type="dxa"/>
            <w:vMerge w:val="continue"/>
            <w:tcBorders>
              <w:top w:val="single" w:color="000000" w:sz="8" w:space="0"/>
              <w:left w:val="nil"/>
              <w:bottom w:val="single" w:color="000000" w:sz="8" w:space="0"/>
              <w:right w:val="single" w:color="000000" w:sz="8" w:space="0"/>
            </w:tcBorders>
            <w:shd w:val="clear" w:color="auto" w:fill="auto"/>
            <w:vAlign w:val="center"/>
          </w:tcPr>
          <w:p w14:paraId="08A47E00">
            <w:pPr>
              <w:jc w:val="center"/>
              <w:rPr>
                <w:rFonts w:eastAsia="仿宋_GB2312"/>
                <w:b/>
                <w:bCs/>
                <w:color w:val="000000"/>
                <w:sz w:val="22"/>
                <w:szCs w:val="22"/>
              </w:rPr>
            </w:pPr>
          </w:p>
        </w:tc>
        <w:tc>
          <w:tcPr>
            <w:tcW w:w="1093" w:type="dxa"/>
            <w:vMerge w:val="continue"/>
            <w:tcBorders>
              <w:top w:val="single" w:color="000000" w:sz="8" w:space="0"/>
              <w:left w:val="nil"/>
              <w:bottom w:val="single" w:color="000000" w:sz="8" w:space="0"/>
              <w:right w:val="single" w:color="000000" w:sz="8" w:space="0"/>
            </w:tcBorders>
            <w:shd w:val="clear" w:color="auto" w:fill="auto"/>
            <w:vAlign w:val="center"/>
          </w:tcPr>
          <w:p w14:paraId="651EE9E9">
            <w:pPr>
              <w:jc w:val="center"/>
              <w:rPr>
                <w:rFonts w:eastAsia="仿宋_GB2312"/>
                <w:b/>
                <w:bCs/>
                <w:color w:val="000000"/>
                <w:sz w:val="22"/>
                <w:szCs w:val="22"/>
              </w:rPr>
            </w:pPr>
          </w:p>
        </w:tc>
        <w:tc>
          <w:tcPr>
            <w:tcW w:w="955" w:type="dxa"/>
            <w:vMerge w:val="continue"/>
            <w:tcBorders>
              <w:top w:val="single" w:color="000000" w:sz="8" w:space="0"/>
              <w:left w:val="nil"/>
              <w:bottom w:val="single" w:color="000000" w:sz="8" w:space="0"/>
              <w:right w:val="single" w:color="000000" w:sz="8" w:space="0"/>
            </w:tcBorders>
            <w:shd w:val="clear" w:color="auto" w:fill="auto"/>
            <w:vAlign w:val="center"/>
          </w:tcPr>
          <w:p w14:paraId="74C1A2F8">
            <w:pPr>
              <w:jc w:val="center"/>
              <w:rPr>
                <w:rFonts w:eastAsia="仿宋_GB2312"/>
                <w:b/>
                <w:bCs/>
                <w:color w:val="000000"/>
                <w:sz w:val="22"/>
                <w:szCs w:val="22"/>
              </w:rPr>
            </w:pPr>
          </w:p>
        </w:tc>
        <w:tc>
          <w:tcPr>
            <w:tcW w:w="842" w:type="dxa"/>
            <w:vMerge w:val="continue"/>
            <w:tcBorders>
              <w:top w:val="single" w:color="000000" w:sz="8" w:space="0"/>
              <w:left w:val="nil"/>
              <w:bottom w:val="single" w:color="000000" w:sz="8" w:space="0"/>
              <w:right w:val="single" w:color="000000" w:sz="8" w:space="0"/>
            </w:tcBorders>
            <w:shd w:val="clear" w:color="auto" w:fill="auto"/>
            <w:vAlign w:val="center"/>
          </w:tcPr>
          <w:p w14:paraId="699D19B1">
            <w:pPr>
              <w:jc w:val="center"/>
              <w:rPr>
                <w:rFonts w:eastAsia="仿宋_GB2312"/>
                <w:b/>
                <w:bCs/>
                <w:color w:val="000000"/>
                <w:sz w:val="22"/>
                <w:szCs w:val="22"/>
              </w:rPr>
            </w:pPr>
          </w:p>
        </w:tc>
        <w:tc>
          <w:tcPr>
            <w:tcW w:w="873" w:type="dxa"/>
            <w:vMerge w:val="continue"/>
            <w:tcBorders>
              <w:top w:val="single" w:color="000000" w:sz="8" w:space="0"/>
              <w:left w:val="nil"/>
              <w:bottom w:val="single" w:color="000000" w:sz="8" w:space="0"/>
              <w:right w:val="single" w:color="000000" w:sz="8" w:space="0"/>
            </w:tcBorders>
            <w:shd w:val="clear" w:color="auto" w:fill="auto"/>
            <w:vAlign w:val="center"/>
          </w:tcPr>
          <w:p w14:paraId="7410F913">
            <w:pPr>
              <w:jc w:val="center"/>
              <w:rPr>
                <w:rFonts w:eastAsia="仿宋_GB2312"/>
                <w:b/>
                <w:bCs/>
                <w:color w:val="000000"/>
                <w:sz w:val="22"/>
                <w:szCs w:val="22"/>
              </w:rPr>
            </w:pPr>
          </w:p>
        </w:tc>
        <w:tc>
          <w:tcPr>
            <w:tcW w:w="921" w:type="dxa"/>
            <w:vMerge w:val="continue"/>
            <w:tcBorders>
              <w:top w:val="single" w:color="000000" w:sz="8" w:space="0"/>
              <w:left w:val="nil"/>
              <w:bottom w:val="single" w:color="000000" w:sz="8" w:space="0"/>
              <w:right w:val="single" w:color="000000" w:sz="8" w:space="0"/>
            </w:tcBorders>
            <w:shd w:val="clear" w:color="auto" w:fill="auto"/>
            <w:vAlign w:val="center"/>
          </w:tcPr>
          <w:p w14:paraId="4DA93662">
            <w:pPr>
              <w:jc w:val="center"/>
              <w:rPr>
                <w:rFonts w:eastAsia="仿宋_GB2312"/>
                <w:b/>
                <w:bCs/>
                <w:color w:val="000000"/>
                <w:sz w:val="22"/>
                <w:szCs w:val="22"/>
              </w:rPr>
            </w:pPr>
          </w:p>
        </w:tc>
        <w:tc>
          <w:tcPr>
            <w:tcW w:w="1382" w:type="dxa"/>
            <w:vMerge w:val="continue"/>
            <w:tcBorders>
              <w:top w:val="single" w:color="000000" w:sz="8" w:space="0"/>
              <w:left w:val="nil"/>
              <w:bottom w:val="single" w:color="000000" w:sz="8" w:space="0"/>
              <w:right w:val="single" w:color="000000" w:sz="8" w:space="0"/>
            </w:tcBorders>
            <w:shd w:val="clear" w:color="auto" w:fill="auto"/>
            <w:vAlign w:val="center"/>
          </w:tcPr>
          <w:p w14:paraId="4B8FC337">
            <w:pPr>
              <w:jc w:val="center"/>
              <w:rPr>
                <w:rFonts w:eastAsia="仿宋_GB2312"/>
                <w:b/>
                <w:bCs/>
                <w:color w:val="000000"/>
                <w:sz w:val="22"/>
                <w:szCs w:val="22"/>
              </w:rPr>
            </w:pPr>
          </w:p>
        </w:tc>
        <w:tc>
          <w:tcPr>
            <w:tcW w:w="1068" w:type="dxa"/>
            <w:vMerge w:val="continue"/>
            <w:tcBorders>
              <w:top w:val="single" w:color="000000" w:sz="8" w:space="0"/>
              <w:left w:val="nil"/>
              <w:bottom w:val="single" w:color="000000" w:sz="8" w:space="0"/>
              <w:right w:val="single" w:color="000000" w:sz="8" w:space="0"/>
            </w:tcBorders>
            <w:shd w:val="clear" w:color="auto" w:fill="auto"/>
            <w:vAlign w:val="center"/>
          </w:tcPr>
          <w:p w14:paraId="1F055C87">
            <w:pPr>
              <w:jc w:val="center"/>
              <w:rPr>
                <w:rFonts w:eastAsia="仿宋_GB2312"/>
                <w:b/>
                <w:bCs/>
                <w:color w:val="000000"/>
                <w:sz w:val="22"/>
                <w:szCs w:val="22"/>
              </w:rPr>
            </w:pPr>
          </w:p>
        </w:tc>
      </w:tr>
      <w:tr w14:paraId="0FFCF7FA">
        <w:tblPrEx>
          <w:tblCellMar>
            <w:top w:w="0" w:type="dxa"/>
            <w:left w:w="108" w:type="dxa"/>
            <w:bottom w:w="0" w:type="dxa"/>
            <w:right w:w="108" w:type="dxa"/>
          </w:tblCellMar>
        </w:tblPrEx>
        <w:trPr>
          <w:trHeight w:val="499" w:hRule="atLeast"/>
        </w:trPr>
        <w:tc>
          <w:tcPr>
            <w:tcW w:w="1278" w:type="dxa"/>
            <w:vMerge w:val="restart"/>
            <w:tcBorders>
              <w:top w:val="nil"/>
              <w:left w:val="single" w:color="000000" w:sz="8" w:space="0"/>
              <w:bottom w:val="single" w:color="000000" w:sz="8" w:space="0"/>
              <w:right w:val="single" w:color="000000" w:sz="8" w:space="0"/>
            </w:tcBorders>
            <w:shd w:val="clear" w:color="auto" w:fill="auto"/>
            <w:vAlign w:val="center"/>
          </w:tcPr>
          <w:p w14:paraId="5EE2EBD7">
            <w:pPr>
              <w:widowControl/>
              <w:adjustRightInd w:val="0"/>
              <w:snapToGrid w:val="0"/>
              <w:jc w:val="center"/>
              <w:textAlignment w:val="center"/>
              <w:rPr>
                <w:rFonts w:eastAsia="仿宋_GB2312"/>
                <w:color w:val="000000"/>
                <w:sz w:val="22"/>
                <w:szCs w:val="22"/>
              </w:rPr>
            </w:pPr>
            <w:r>
              <w:rPr>
                <w:rFonts w:eastAsia="仿宋_GB2312"/>
                <w:color w:val="000000"/>
                <w:kern w:val="0"/>
                <w:sz w:val="22"/>
                <w:szCs w:val="22"/>
              </w:rPr>
              <w:t>遂宁市经济和信息化局</w:t>
            </w:r>
          </w:p>
        </w:tc>
        <w:tc>
          <w:tcPr>
            <w:tcW w:w="804" w:type="dxa"/>
            <w:tcBorders>
              <w:top w:val="nil"/>
              <w:left w:val="nil"/>
              <w:bottom w:val="single" w:color="000000" w:sz="8" w:space="0"/>
              <w:right w:val="single" w:color="000000" w:sz="8" w:space="0"/>
            </w:tcBorders>
            <w:shd w:val="clear" w:color="auto" w:fill="auto"/>
            <w:noWrap/>
            <w:vAlign w:val="center"/>
          </w:tcPr>
          <w:p w14:paraId="50AA24BC">
            <w:pPr>
              <w:widowControl/>
              <w:adjustRightInd w:val="0"/>
              <w:snapToGrid w:val="0"/>
              <w:jc w:val="center"/>
              <w:textAlignment w:val="center"/>
              <w:rPr>
                <w:rFonts w:eastAsia="仿宋_GB2312"/>
                <w:color w:val="000000"/>
                <w:sz w:val="22"/>
                <w:szCs w:val="22"/>
              </w:rPr>
            </w:pPr>
            <w:r>
              <w:rPr>
                <w:rFonts w:eastAsia="仿宋_GB2312"/>
                <w:color w:val="000000"/>
                <w:kern w:val="0"/>
                <w:sz w:val="22"/>
                <w:szCs w:val="22"/>
              </w:rPr>
              <w:t>2023年</w:t>
            </w:r>
          </w:p>
        </w:tc>
        <w:tc>
          <w:tcPr>
            <w:tcW w:w="1093" w:type="dxa"/>
            <w:tcBorders>
              <w:top w:val="nil"/>
              <w:left w:val="nil"/>
              <w:bottom w:val="single" w:color="000000" w:sz="8" w:space="0"/>
              <w:right w:val="single" w:color="000000" w:sz="8" w:space="0"/>
            </w:tcBorders>
            <w:shd w:val="clear" w:color="auto" w:fill="auto"/>
            <w:noWrap/>
            <w:vAlign w:val="center"/>
          </w:tcPr>
          <w:p w14:paraId="3395FF8D">
            <w:pPr>
              <w:widowControl/>
              <w:adjustRightInd w:val="0"/>
              <w:snapToGrid w:val="0"/>
              <w:jc w:val="center"/>
              <w:textAlignment w:val="center"/>
              <w:rPr>
                <w:rFonts w:eastAsia="仿宋_GB2312"/>
                <w:color w:val="000000"/>
                <w:sz w:val="22"/>
                <w:szCs w:val="22"/>
              </w:rPr>
            </w:pPr>
            <w:r>
              <w:rPr>
                <w:color w:val="000000"/>
                <w:sz w:val="22"/>
                <w:szCs w:val="22"/>
              </w:rPr>
              <w:t>839.83</w:t>
            </w:r>
          </w:p>
        </w:tc>
        <w:tc>
          <w:tcPr>
            <w:tcW w:w="955" w:type="dxa"/>
            <w:tcBorders>
              <w:top w:val="nil"/>
              <w:left w:val="nil"/>
              <w:bottom w:val="single" w:color="000000" w:sz="8" w:space="0"/>
              <w:right w:val="single" w:color="000000" w:sz="8" w:space="0"/>
            </w:tcBorders>
            <w:shd w:val="clear" w:color="auto" w:fill="auto"/>
            <w:noWrap/>
            <w:vAlign w:val="center"/>
          </w:tcPr>
          <w:p w14:paraId="1943FBEE">
            <w:pPr>
              <w:widowControl/>
              <w:adjustRightInd w:val="0"/>
              <w:snapToGrid w:val="0"/>
              <w:jc w:val="center"/>
              <w:textAlignment w:val="center"/>
              <w:rPr>
                <w:rFonts w:eastAsia="仿宋_GB2312"/>
                <w:color w:val="000000"/>
                <w:sz w:val="22"/>
                <w:szCs w:val="22"/>
              </w:rPr>
            </w:pPr>
            <w:r>
              <w:rPr>
                <w:color w:val="000000"/>
                <w:sz w:val="22"/>
                <w:szCs w:val="22"/>
              </w:rPr>
              <w:t>0</w:t>
            </w:r>
          </w:p>
        </w:tc>
        <w:tc>
          <w:tcPr>
            <w:tcW w:w="842" w:type="dxa"/>
            <w:tcBorders>
              <w:top w:val="nil"/>
              <w:left w:val="nil"/>
              <w:bottom w:val="single" w:color="000000" w:sz="8" w:space="0"/>
              <w:right w:val="single" w:color="000000" w:sz="8" w:space="0"/>
            </w:tcBorders>
            <w:shd w:val="clear" w:color="auto" w:fill="auto"/>
            <w:noWrap/>
            <w:vAlign w:val="center"/>
          </w:tcPr>
          <w:p w14:paraId="02FC1540">
            <w:pPr>
              <w:widowControl/>
              <w:adjustRightInd w:val="0"/>
              <w:snapToGrid w:val="0"/>
              <w:jc w:val="center"/>
              <w:textAlignment w:val="center"/>
              <w:rPr>
                <w:rFonts w:eastAsia="仿宋_GB2312"/>
                <w:color w:val="000000"/>
                <w:sz w:val="22"/>
                <w:szCs w:val="22"/>
              </w:rPr>
            </w:pPr>
            <w:r>
              <w:rPr>
                <w:color w:val="000000"/>
                <w:sz w:val="22"/>
                <w:szCs w:val="22"/>
              </w:rPr>
              <w:t>839.83</w:t>
            </w:r>
          </w:p>
        </w:tc>
        <w:tc>
          <w:tcPr>
            <w:tcW w:w="873" w:type="dxa"/>
            <w:tcBorders>
              <w:top w:val="nil"/>
              <w:left w:val="nil"/>
              <w:bottom w:val="single" w:color="000000" w:sz="8" w:space="0"/>
              <w:right w:val="single" w:color="000000" w:sz="8" w:space="0"/>
            </w:tcBorders>
            <w:shd w:val="clear" w:color="auto" w:fill="auto"/>
            <w:noWrap/>
            <w:vAlign w:val="center"/>
          </w:tcPr>
          <w:p w14:paraId="6D0D8F6F">
            <w:pPr>
              <w:widowControl/>
              <w:adjustRightInd w:val="0"/>
              <w:snapToGrid w:val="0"/>
              <w:jc w:val="center"/>
              <w:textAlignment w:val="center"/>
              <w:rPr>
                <w:rFonts w:eastAsia="仿宋_GB2312"/>
                <w:color w:val="000000"/>
                <w:sz w:val="22"/>
                <w:szCs w:val="22"/>
              </w:rPr>
            </w:pPr>
            <w:r>
              <w:rPr>
                <w:color w:val="000000"/>
                <w:sz w:val="22"/>
                <w:szCs w:val="22"/>
              </w:rPr>
              <w:t>74</w:t>
            </w:r>
          </w:p>
        </w:tc>
        <w:tc>
          <w:tcPr>
            <w:tcW w:w="921" w:type="dxa"/>
            <w:tcBorders>
              <w:top w:val="nil"/>
              <w:left w:val="nil"/>
              <w:bottom w:val="single" w:color="000000" w:sz="8" w:space="0"/>
              <w:right w:val="single" w:color="000000" w:sz="8" w:space="0"/>
            </w:tcBorders>
            <w:shd w:val="clear" w:color="auto" w:fill="auto"/>
            <w:noWrap/>
            <w:vAlign w:val="center"/>
          </w:tcPr>
          <w:p w14:paraId="3B3FCF03">
            <w:pPr>
              <w:widowControl/>
              <w:jc w:val="center"/>
              <w:textAlignment w:val="center"/>
              <w:rPr>
                <w:rFonts w:eastAsia="仿宋_GB2312"/>
                <w:color w:val="000000"/>
                <w:sz w:val="22"/>
                <w:szCs w:val="22"/>
              </w:rPr>
            </w:pPr>
            <w:r>
              <w:rPr>
                <w:color w:val="000000"/>
                <w:sz w:val="22"/>
                <w:szCs w:val="22"/>
              </w:rPr>
              <w:t>11.34</w:t>
            </w:r>
          </w:p>
        </w:tc>
        <w:tc>
          <w:tcPr>
            <w:tcW w:w="1382" w:type="dxa"/>
            <w:vMerge w:val="restart"/>
            <w:tcBorders>
              <w:top w:val="nil"/>
              <w:left w:val="nil"/>
              <w:bottom w:val="single" w:color="000000" w:sz="8" w:space="0"/>
              <w:right w:val="single" w:color="000000" w:sz="8" w:space="0"/>
            </w:tcBorders>
            <w:shd w:val="clear" w:color="auto" w:fill="auto"/>
            <w:noWrap/>
            <w:vAlign w:val="center"/>
          </w:tcPr>
          <w:p w14:paraId="0CAB6C60">
            <w:pPr>
              <w:widowControl/>
              <w:jc w:val="center"/>
              <w:textAlignment w:val="center"/>
              <w:rPr>
                <w:rFonts w:eastAsia="仿宋_GB2312"/>
                <w:color w:val="000000"/>
                <w:sz w:val="22"/>
                <w:szCs w:val="22"/>
              </w:rPr>
            </w:pPr>
            <w:r>
              <w:rPr>
                <w:color w:val="000000"/>
                <w:kern w:val="0"/>
                <w:sz w:val="22"/>
                <w:szCs w:val="22"/>
              </w:rPr>
              <w:t>-42.59</w:t>
            </w:r>
            <w:r>
              <w:rPr>
                <w:rFonts w:eastAsia="仿宋_GB2312"/>
                <w:color w:val="000000"/>
                <w:kern w:val="0"/>
                <w:sz w:val="22"/>
                <w:szCs w:val="22"/>
              </w:rPr>
              <w:t>%</w:t>
            </w:r>
          </w:p>
        </w:tc>
        <w:tc>
          <w:tcPr>
            <w:tcW w:w="1068" w:type="dxa"/>
            <w:tcBorders>
              <w:top w:val="nil"/>
              <w:left w:val="nil"/>
              <w:bottom w:val="single" w:color="000000" w:sz="8" w:space="0"/>
              <w:right w:val="single" w:color="000000" w:sz="8" w:space="0"/>
            </w:tcBorders>
            <w:shd w:val="clear" w:color="auto" w:fill="auto"/>
            <w:noWrap/>
            <w:vAlign w:val="center"/>
          </w:tcPr>
          <w:p w14:paraId="4C11DC06">
            <w:pPr>
              <w:widowControl/>
              <w:jc w:val="center"/>
              <w:textAlignment w:val="center"/>
              <w:rPr>
                <w:rFonts w:eastAsia="仿宋_GB2312"/>
                <w:color w:val="000000"/>
                <w:sz w:val="22"/>
                <w:szCs w:val="22"/>
              </w:rPr>
            </w:pPr>
            <w:r>
              <w:rPr>
                <w:rFonts w:eastAsia="仿宋_GB2312"/>
                <w:color w:val="000000"/>
                <w:kern w:val="0"/>
                <w:sz w:val="22"/>
                <w:szCs w:val="22"/>
              </w:rPr>
              <w:t>/</w:t>
            </w:r>
          </w:p>
        </w:tc>
      </w:tr>
      <w:tr w14:paraId="2E3286A0">
        <w:tblPrEx>
          <w:tblCellMar>
            <w:top w:w="0" w:type="dxa"/>
            <w:left w:w="108" w:type="dxa"/>
            <w:bottom w:w="0" w:type="dxa"/>
            <w:right w:w="108" w:type="dxa"/>
          </w:tblCellMar>
        </w:tblPrEx>
        <w:trPr>
          <w:trHeight w:val="510" w:hRule="atLeast"/>
        </w:trPr>
        <w:tc>
          <w:tcPr>
            <w:tcW w:w="1278" w:type="dxa"/>
            <w:vMerge w:val="continue"/>
            <w:tcBorders>
              <w:top w:val="nil"/>
              <w:left w:val="single" w:color="000000" w:sz="8" w:space="0"/>
              <w:bottom w:val="single" w:color="000000" w:sz="8" w:space="0"/>
              <w:right w:val="single" w:color="000000" w:sz="8" w:space="0"/>
            </w:tcBorders>
            <w:shd w:val="clear" w:color="auto" w:fill="auto"/>
            <w:vAlign w:val="center"/>
          </w:tcPr>
          <w:p w14:paraId="6195795F">
            <w:pPr>
              <w:widowControl/>
              <w:adjustRightInd w:val="0"/>
              <w:snapToGrid w:val="0"/>
              <w:jc w:val="center"/>
              <w:rPr>
                <w:rFonts w:eastAsia="仿宋_GB2312"/>
                <w:color w:val="000000"/>
                <w:sz w:val="22"/>
                <w:szCs w:val="22"/>
              </w:rPr>
            </w:pPr>
          </w:p>
        </w:tc>
        <w:tc>
          <w:tcPr>
            <w:tcW w:w="804" w:type="dxa"/>
            <w:tcBorders>
              <w:top w:val="nil"/>
              <w:left w:val="nil"/>
              <w:bottom w:val="single" w:color="000000" w:sz="8" w:space="0"/>
              <w:right w:val="single" w:color="000000" w:sz="8" w:space="0"/>
            </w:tcBorders>
            <w:shd w:val="clear" w:color="auto" w:fill="auto"/>
            <w:noWrap/>
            <w:vAlign w:val="center"/>
          </w:tcPr>
          <w:p w14:paraId="0A9364B3">
            <w:pPr>
              <w:widowControl/>
              <w:adjustRightInd w:val="0"/>
              <w:snapToGrid w:val="0"/>
              <w:jc w:val="center"/>
              <w:textAlignment w:val="center"/>
              <w:rPr>
                <w:rFonts w:eastAsia="仿宋_GB2312"/>
                <w:color w:val="000000"/>
                <w:sz w:val="22"/>
                <w:szCs w:val="22"/>
              </w:rPr>
            </w:pPr>
            <w:r>
              <w:rPr>
                <w:rFonts w:eastAsia="仿宋_GB2312"/>
                <w:color w:val="000000"/>
                <w:kern w:val="0"/>
                <w:sz w:val="22"/>
                <w:szCs w:val="22"/>
              </w:rPr>
              <w:t>2024年</w:t>
            </w:r>
          </w:p>
        </w:tc>
        <w:tc>
          <w:tcPr>
            <w:tcW w:w="1093" w:type="dxa"/>
            <w:tcBorders>
              <w:top w:val="nil"/>
              <w:left w:val="nil"/>
              <w:bottom w:val="single" w:color="000000" w:sz="8" w:space="0"/>
              <w:right w:val="single" w:color="000000" w:sz="8" w:space="0"/>
            </w:tcBorders>
            <w:shd w:val="clear" w:color="auto" w:fill="auto"/>
            <w:noWrap/>
            <w:vAlign w:val="center"/>
          </w:tcPr>
          <w:p w14:paraId="4361B6B2">
            <w:pPr>
              <w:widowControl/>
              <w:adjustRightInd w:val="0"/>
              <w:snapToGrid w:val="0"/>
              <w:jc w:val="center"/>
              <w:textAlignment w:val="center"/>
              <w:rPr>
                <w:rFonts w:eastAsia="仿宋_GB2312"/>
                <w:color w:val="000000"/>
                <w:sz w:val="22"/>
                <w:szCs w:val="22"/>
              </w:rPr>
            </w:pPr>
            <w:r>
              <w:rPr>
                <w:color w:val="000000"/>
                <w:sz w:val="22"/>
                <w:szCs w:val="22"/>
              </w:rPr>
              <w:t>488.56</w:t>
            </w:r>
          </w:p>
        </w:tc>
        <w:tc>
          <w:tcPr>
            <w:tcW w:w="955" w:type="dxa"/>
            <w:tcBorders>
              <w:top w:val="nil"/>
              <w:left w:val="nil"/>
              <w:bottom w:val="single" w:color="000000" w:sz="8" w:space="0"/>
              <w:right w:val="single" w:color="000000" w:sz="8" w:space="0"/>
            </w:tcBorders>
            <w:shd w:val="clear" w:color="auto" w:fill="auto"/>
            <w:noWrap/>
            <w:vAlign w:val="center"/>
          </w:tcPr>
          <w:p w14:paraId="012F3A56">
            <w:pPr>
              <w:widowControl/>
              <w:adjustRightInd w:val="0"/>
              <w:snapToGrid w:val="0"/>
              <w:jc w:val="center"/>
              <w:textAlignment w:val="center"/>
              <w:rPr>
                <w:rFonts w:eastAsia="仿宋_GB2312"/>
                <w:color w:val="000000"/>
                <w:sz w:val="22"/>
                <w:szCs w:val="22"/>
              </w:rPr>
            </w:pPr>
            <w:r>
              <w:rPr>
                <w:color w:val="000000"/>
                <w:sz w:val="22"/>
                <w:szCs w:val="22"/>
              </w:rPr>
              <w:t>0</w:t>
            </w:r>
          </w:p>
        </w:tc>
        <w:tc>
          <w:tcPr>
            <w:tcW w:w="842" w:type="dxa"/>
            <w:tcBorders>
              <w:top w:val="nil"/>
              <w:left w:val="nil"/>
              <w:bottom w:val="single" w:color="000000" w:sz="8" w:space="0"/>
              <w:right w:val="single" w:color="000000" w:sz="8" w:space="0"/>
            </w:tcBorders>
            <w:shd w:val="clear" w:color="auto" w:fill="auto"/>
            <w:noWrap/>
            <w:vAlign w:val="center"/>
          </w:tcPr>
          <w:p w14:paraId="7498A77C">
            <w:pPr>
              <w:widowControl/>
              <w:adjustRightInd w:val="0"/>
              <w:snapToGrid w:val="0"/>
              <w:jc w:val="center"/>
              <w:textAlignment w:val="center"/>
              <w:rPr>
                <w:rFonts w:eastAsia="仿宋_GB2312"/>
                <w:color w:val="000000"/>
                <w:sz w:val="22"/>
                <w:szCs w:val="22"/>
              </w:rPr>
            </w:pPr>
            <w:r>
              <w:rPr>
                <w:color w:val="000000"/>
                <w:sz w:val="22"/>
                <w:szCs w:val="22"/>
              </w:rPr>
              <w:t>488.56</w:t>
            </w:r>
          </w:p>
        </w:tc>
        <w:tc>
          <w:tcPr>
            <w:tcW w:w="873" w:type="dxa"/>
            <w:tcBorders>
              <w:top w:val="nil"/>
              <w:left w:val="nil"/>
              <w:bottom w:val="single" w:color="000000" w:sz="8" w:space="0"/>
              <w:right w:val="single" w:color="000000" w:sz="8" w:space="0"/>
            </w:tcBorders>
            <w:shd w:val="clear" w:color="auto" w:fill="auto"/>
            <w:noWrap/>
            <w:vAlign w:val="center"/>
          </w:tcPr>
          <w:p w14:paraId="1BA69FA2">
            <w:pPr>
              <w:widowControl/>
              <w:adjustRightInd w:val="0"/>
              <w:snapToGrid w:val="0"/>
              <w:jc w:val="center"/>
              <w:textAlignment w:val="center"/>
              <w:rPr>
                <w:rFonts w:eastAsia="仿宋_GB2312"/>
                <w:color w:val="000000"/>
                <w:sz w:val="22"/>
                <w:szCs w:val="22"/>
              </w:rPr>
            </w:pPr>
            <w:r>
              <w:rPr>
                <w:color w:val="000000"/>
                <w:sz w:val="22"/>
                <w:szCs w:val="22"/>
              </w:rPr>
              <w:t>75</w:t>
            </w:r>
          </w:p>
        </w:tc>
        <w:tc>
          <w:tcPr>
            <w:tcW w:w="921" w:type="dxa"/>
            <w:tcBorders>
              <w:top w:val="nil"/>
              <w:left w:val="nil"/>
              <w:bottom w:val="single" w:color="000000" w:sz="8" w:space="0"/>
              <w:right w:val="single" w:color="000000" w:sz="8" w:space="0"/>
            </w:tcBorders>
            <w:shd w:val="clear" w:color="auto" w:fill="auto"/>
            <w:noWrap/>
            <w:vAlign w:val="center"/>
          </w:tcPr>
          <w:p w14:paraId="01019752">
            <w:pPr>
              <w:widowControl/>
              <w:jc w:val="center"/>
              <w:textAlignment w:val="center"/>
              <w:rPr>
                <w:rFonts w:eastAsia="仿宋_GB2312"/>
                <w:color w:val="000000"/>
                <w:sz w:val="22"/>
                <w:szCs w:val="22"/>
              </w:rPr>
            </w:pPr>
            <w:r>
              <w:rPr>
                <w:color w:val="000000"/>
                <w:sz w:val="22"/>
                <w:szCs w:val="22"/>
              </w:rPr>
              <w:t>6.51</w:t>
            </w:r>
          </w:p>
        </w:tc>
        <w:tc>
          <w:tcPr>
            <w:tcW w:w="1382" w:type="dxa"/>
            <w:vMerge w:val="continue"/>
            <w:tcBorders>
              <w:top w:val="nil"/>
              <w:left w:val="nil"/>
              <w:bottom w:val="single" w:color="000000" w:sz="8" w:space="0"/>
              <w:right w:val="single" w:color="000000" w:sz="8" w:space="0"/>
            </w:tcBorders>
            <w:shd w:val="clear" w:color="auto" w:fill="auto"/>
            <w:noWrap/>
            <w:vAlign w:val="center"/>
          </w:tcPr>
          <w:p w14:paraId="1D111127">
            <w:pPr>
              <w:jc w:val="center"/>
              <w:rPr>
                <w:rFonts w:eastAsia="仿宋_GB2312"/>
                <w:color w:val="000000"/>
                <w:sz w:val="22"/>
                <w:szCs w:val="22"/>
              </w:rPr>
            </w:pPr>
          </w:p>
        </w:tc>
        <w:tc>
          <w:tcPr>
            <w:tcW w:w="1068" w:type="dxa"/>
            <w:tcBorders>
              <w:top w:val="nil"/>
              <w:left w:val="nil"/>
              <w:bottom w:val="single" w:color="000000" w:sz="8" w:space="0"/>
              <w:right w:val="single" w:color="000000" w:sz="8" w:space="0"/>
            </w:tcBorders>
            <w:shd w:val="clear" w:color="auto" w:fill="auto"/>
            <w:noWrap/>
            <w:vAlign w:val="center"/>
          </w:tcPr>
          <w:p w14:paraId="3C7ABB90">
            <w:pPr>
              <w:widowControl/>
              <w:jc w:val="center"/>
              <w:textAlignment w:val="center"/>
              <w:rPr>
                <w:rFonts w:eastAsia="仿宋_GB2312"/>
                <w:color w:val="000000"/>
                <w:sz w:val="22"/>
                <w:szCs w:val="22"/>
              </w:rPr>
            </w:pPr>
            <w:r>
              <w:rPr>
                <w:rFonts w:eastAsia="仿宋_GB2312"/>
                <w:color w:val="000000"/>
                <w:kern w:val="0"/>
                <w:sz w:val="22"/>
                <w:szCs w:val="22"/>
              </w:rPr>
              <w:t>/</w:t>
            </w:r>
          </w:p>
        </w:tc>
      </w:tr>
    </w:tbl>
    <w:p w14:paraId="2825F765">
      <w:pPr>
        <w:spacing w:line="590" w:lineRule="exact"/>
        <w:ind w:firstLine="592" w:firstLineChars="200"/>
        <w:contextualSpacing/>
        <w:rPr>
          <w:rFonts w:eastAsia="仿宋_GB2312"/>
          <w:spacing w:val="8"/>
          <w:sz w:val="28"/>
          <w:szCs w:val="28"/>
        </w:rPr>
      </w:pPr>
      <w:bookmarkStart w:id="119" w:name="OLE_LINK16"/>
      <w:r>
        <w:rPr>
          <w:rFonts w:eastAsia="仿宋_GB2312"/>
          <w:spacing w:val="8"/>
          <w:sz w:val="28"/>
          <w:szCs w:val="28"/>
        </w:rPr>
        <w:t>（2）资产利用率</w:t>
      </w:r>
    </w:p>
    <w:p w14:paraId="610CD6B3">
      <w:pPr>
        <w:spacing w:line="590" w:lineRule="exact"/>
        <w:ind w:firstLine="592" w:firstLineChars="200"/>
        <w:contextualSpacing/>
        <w:rPr>
          <w:rFonts w:eastAsia="仿宋_GB2312"/>
          <w:spacing w:val="8"/>
          <w:sz w:val="28"/>
          <w:szCs w:val="28"/>
        </w:rPr>
      </w:pPr>
      <w:r>
        <w:rPr>
          <w:rFonts w:eastAsia="仿宋_GB2312"/>
          <w:spacing w:val="8"/>
          <w:sz w:val="28"/>
          <w:szCs w:val="28"/>
        </w:rPr>
        <w:t>根据遂宁市</w:t>
      </w:r>
      <w:r>
        <w:rPr>
          <w:spacing w:val="8"/>
          <w:sz w:val="28"/>
          <w:szCs w:val="28"/>
        </w:rPr>
        <w:t>经济和信息化局</w:t>
      </w:r>
      <w:r>
        <w:rPr>
          <w:rFonts w:eastAsia="仿宋_GB2312"/>
          <w:spacing w:val="8"/>
          <w:sz w:val="28"/>
          <w:szCs w:val="28"/>
        </w:rPr>
        <w:t>截至2024年12月31日固定资产卡片明细数据，超最低使用年限的办公家具资产利用率为</w:t>
      </w:r>
      <w:r>
        <w:rPr>
          <w:spacing w:val="8"/>
          <w:sz w:val="28"/>
          <w:szCs w:val="28"/>
        </w:rPr>
        <w:t>100</w:t>
      </w:r>
      <w:r>
        <w:rPr>
          <w:rFonts w:eastAsia="仿宋_GB2312"/>
          <w:spacing w:val="8"/>
          <w:sz w:val="28"/>
          <w:szCs w:val="28"/>
        </w:rPr>
        <w:t>%；超最低使用年限的办公设备资产利用率为</w:t>
      </w:r>
      <w:r>
        <w:rPr>
          <w:spacing w:val="8"/>
          <w:sz w:val="28"/>
          <w:szCs w:val="28"/>
        </w:rPr>
        <w:t>77</w:t>
      </w:r>
      <w:r>
        <w:rPr>
          <w:rFonts w:eastAsia="仿宋_GB2312"/>
          <w:spacing w:val="8"/>
          <w:sz w:val="28"/>
          <w:szCs w:val="28"/>
        </w:rPr>
        <w:t>%。根据《部门整体支出绩效自评打分表》的评分说明本项指标权重3分、得分</w:t>
      </w:r>
      <w:r>
        <w:rPr>
          <w:spacing w:val="8"/>
          <w:sz w:val="28"/>
          <w:szCs w:val="28"/>
        </w:rPr>
        <w:t>2.27</w:t>
      </w:r>
      <w:r>
        <w:rPr>
          <w:rFonts w:eastAsia="仿宋_GB2312"/>
          <w:spacing w:val="8"/>
          <w:sz w:val="28"/>
          <w:szCs w:val="28"/>
        </w:rPr>
        <w:t>分。</w:t>
      </w:r>
    </w:p>
    <w:p w14:paraId="7E14BB95">
      <w:pPr>
        <w:spacing w:line="360" w:lineRule="auto"/>
        <w:ind w:firstLine="7680" w:firstLineChars="3200"/>
        <w:rPr>
          <w:rFonts w:eastAsia="仿宋_GB2312"/>
          <w:sz w:val="24"/>
          <w:szCs w:val="21"/>
        </w:rPr>
      </w:pPr>
      <w:r>
        <w:rPr>
          <w:rFonts w:eastAsia="仿宋_GB2312"/>
          <w:sz w:val="24"/>
          <w:szCs w:val="21"/>
        </w:rPr>
        <w:t>单位：万元</w:t>
      </w:r>
    </w:p>
    <w:tbl>
      <w:tblPr>
        <w:tblStyle w:val="19"/>
        <w:tblW w:w="8971" w:type="dxa"/>
        <w:tblInd w:w="93" w:type="dxa"/>
        <w:tblLayout w:type="fixed"/>
        <w:tblCellMar>
          <w:top w:w="0" w:type="dxa"/>
          <w:left w:w="108" w:type="dxa"/>
          <w:bottom w:w="0" w:type="dxa"/>
          <w:right w:w="108" w:type="dxa"/>
        </w:tblCellMar>
      </w:tblPr>
      <w:tblGrid>
        <w:gridCol w:w="1126"/>
        <w:gridCol w:w="1583"/>
        <w:gridCol w:w="1425"/>
        <w:gridCol w:w="802"/>
        <w:gridCol w:w="1665"/>
        <w:gridCol w:w="1215"/>
        <w:gridCol w:w="1155"/>
      </w:tblGrid>
      <w:tr w14:paraId="515ECAE0">
        <w:tblPrEx>
          <w:tblCellMar>
            <w:top w:w="0" w:type="dxa"/>
            <w:left w:w="108" w:type="dxa"/>
            <w:bottom w:w="0" w:type="dxa"/>
            <w:right w:w="108" w:type="dxa"/>
          </w:tblCellMar>
        </w:tblPrEx>
        <w:trPr>
          <w:trHeight w:val="1035" w:hRule="atLeast"/>
        </w:trPr>
        <w:tc>
          <w:tcPr>
            <w:tcW w:w="11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E9F05">
            <w:pPr>
              <w:widowControl/>
              <w:jc w:val="center"/>
              <w:textAlignment w:val="center"/>
              <w:rPr>
                <w:rFonts w:eastAsia="黑体"/>
                <w:color w:val="000000"/>
                <w:szCs w:val="21"/>
              </w:rPr>
            </w:pPr>
            <w:r>
              <w:rPr>
                <w:rFonts w:eastAsia="黑体"/>
                <w:color w:val="000000"/>
                <w:kern w:val="0"/>
                <w:szCs w:val="21"/>
              </w:rPr>
              <w:t>单位</w:t>
            </w:r>
          </w:p>
        </w:tc>
        <w:tc>
          <w:tcPr>
            <w:tcW w:w="1583" w:type="dxa"/>
            <w:tcBorders>
              <w:top w:val="single" w:color="000000" w:sz="8" w:space="0"/>
              <w:left w:val="nil"/>
              <w:bottom w:val="single" w:color="000000" w:sz="8" w:space="0"/>
              <w:right w:val="single" w:color="000000" w:sz="8" w:space="0"/>
            </w:tcBorders>
            <w:shd w:val="clear" w:color="auto" w:fill="auto"/>
            <w:vAlign w:val="center"/>
          </w:tcPr>
          <w:p w14:paraId="23345A6B">
            <w:pPr>
              <w:widowControl/>
              <w:jc w:val="center"/>
              <w:textAlignment w:val="center"/>
              <w:rPr>
                <w:rFonts w:eastAsia="黑体"/>
                <w:color w:val="000000"/>
                <w:szCs w:val="21"/>
              </w:rPr>
            </w:pPr>
            <w:r>
              <w:rPr>
                <w:rFonts w:eastAsia="黑体"/>
                <w:color w:val="000000"/>
                <w:kern w:val="0"/>
                <w:szCs w:val="21"/>
              </w:rPr>
              <w:t>超最低使用年限的办公家具账面原值</w:t>
            </w:r>
          </w:p>
        </w:tc>
        <w:tc>
          <w:tcPr>
            <w:tcW w:w="1425" w:type="dxa"/>
            <w:tcBorders>
              <w:top w:val="single" w:color="000000" w:sz="8" w:space="0"/>
              <w:left w:val="nil"/>
              <w:bottom w:val="single" w:color="000000" w:sz="8" w:space="0"/>
              <w:right w:val="single" w:color="000000" w:sz="8" w:space="0"/>
            </w:tcBorders>
            <w:shd w:val="clear" w:color="auto" w:fill="auto"/>
            <w:vAlign w:val="center"/>
          </w:tcPr>
          <w:p w14:paraId="37CA508B">
            <w:pPr>
              <w:widowControl/>
              <w:jc w:val="center"/>
              <w:textAlignment w:val="center"/>
              <w:rPr>
                <w:rFonts w:eastAsia="黑体"/>
                <w:color w:val="000000"/>
                <w:szCs w:val="21"/>
              </w:rPr>
            </w:pPr>
            <w:r>
              <w:rPr>
                <w:rFonts w:eastAsia="黑体"/>
                <w:color w:val="000000"/>
                <w:kern w:val="0"/>
                <w:szCs w:val="21"/>
              </w:rPr>
              <w:t>办公家具账面原值</w:t>
            </w:r>
          </w:p>
        </w:tc>
        <w:tc>
          <w:tcPr>
            <w:tcW w:w="802" w:type="dxa"/>
            <w:tcBorders>
              <w:top w:val="single" w:color="000000" w:sz="8" w:space="0"/>
              <w:left w:val="nil"/>
              <w:bottom w:val="single" w:color="000000" w:sz="8" w:space="0"/>
              <w:right w:val="single" w:color="000000" w:sz="8" w:space="0"/>
            </w:tcBorders>
            <w:shd w:val="clear" w:color="auto" w:fill="auto"/>
            <w:vAlign w:val="center"/>
          </w:tcPr>
          <w:p w14:paraId="52EE27C5">
            <w:pPr>
              <w:widowControl/>
              <w:jc w:val="center"/>
              <w:textAlignment w:val="center"/>
              <w:rPr>
                <w:rFonts w:eastAsia="黑体"/>
                <w:color w:val="000000"/>
                <w:szCs w:val="21"/>
              </w:rPr>
            </w:pPr>
            <w:r>
              <w:rPr>
                <w:rFonts w:eastAsia="黑体"/>
                <w:color w:val="000000"/>
                <w:kern w:val="0"/>
                <w:szCs w:val="21"/>
              </w:rPr>
              <w:t>资产利用率</w:t>
            </w:r>
          </w:p>
        </w:tc>
        <w:tc>
          <w:tcPr>
            <w:tcW w:w="1665" w:type="dxa"/>
            <w:tcBorders>
              <w:top w:val="single" w:color="000000" w:sz="8" w:space="0"/>
              <w:left w:val="nil"/>
              <w:bottom w:val="single" w:color="000000" w:sz="8" w:space="0"/>
              <w:right w:val="single" w:color="000000" w:sz="8" w:space="0"/>
            </w:tcBorders>
            <w:shd w:val="clear" w:color="auto" w:fill="auto"/>
            <w:vAlign w:val="center"/>
          </w:tcPr>
          <w:p w14:paraId="3C4BA691">
            <w:pPr>
              <w:widowControl/>
              <w:jc w:val="center"/>
              <w:textAlignment w:val="center"/>
              <w:rPr>
                <w:rFonts w:eastAsia="黑体"/>
                <w:color w:val="000000"/>
                <w:szCs w:val="21"/>
              </w:rPr>
            </w:pPr>
            <w:r>
              <w:rPr>
                <w:rFonts w:eastAsia="黑体"/>
                <w:color w:val="000000"/>
                <w:kern w:val="0"/>
                <w:szCs w:val="21"/>
              </w:rPr>
              <w:t>超最低使用年限的办公设备账面原值</w:t>
            </w:r>
          </w:p>
        </w:tc>
        <w:tc>
          <w:tcPr>
            <w:tcW w:w="1215" w:type="dxa"/>
            <w:tcBorders>
              <w:top w:val="single" w:color="000000" w:sz="8" w:space="0"/>
              <w:left w:val="nil"/>
              <w:bottom w:val="single" w:color="000000" w:sz="8" w:space="0"/>
              <w:right w:val="single" w:color="000000" w:sz="8" w:space="0"/>
            </w:tcBorders>
            <w:shd w:val="clear" w:color="auto" w:fill="auto"/>
            <w:vAlign w:val="center"/>
          </w:tcPr>
          <w:p w14:paraId="08667DF6">
            <w:pPr>
              <w:widowControl/>
              <w:jc w:val="center"/>
              <w:textAlignment w:val="center"/>
              <w:rPr>
                <w:rFonts w:eastAsia="黑体"/>
                <w:color w:val="000000"/>
                <w:szCs w:val="21"/>
              </w:rPr>
            </w:pPr>
            <w:r>
              <w:rPr>
                <w:rFonts w:eastAsia="黑体"/>
                <w:color w:val="000000"/>
                <w:kern w:val="0"/>
                <w:szCs w:val="21"/>
              </w:rPr>
              <w:t>办公设备账面原值</w:t>
            </w:r>
          </w:p>
        </w:tc>
        <w:tc>
          <w:tcPr>
            <w:tcW w:w="1155" w:type="dxa"/>
            <w:tcBorders>
              <w:top w:val="single" w:color="000000" w:sz="8" w:space="0"/>
              <w:left w:val="nil"/>
              <w:bottom w:val="single" w:color="000000" w:sz="8" w:space="0"/>
              <w:right w:val="single" w:color="000000" w:sz="8" w:space="0"/>
            </w:tcBorders>
            <w:shd w:val="clear" w:color="auto" w:fill="auto"/>
            <w:vAlign w:val="center"/>
          </w:tcPr>
          <w:p w14:paraId="7465D972">
            <w:pPr>
              <w:widowControl/>
              <w:jc w:val="center"/>
              <w:textAlignment w:val="center"/>
              <w:rPr>
                <w:rFonts w:eastAsia="黑体"/>
                <w:color w:val="000000"/>
                <w:szCs w:val="21"/>
              </w:rPr>
            </w:pPr>
            <w:r>
              <w:rPr>
                <w:rFonts w:eastAsia="黑体"/>
                <w:color w:val="000000"/>
                <w:kern w:val="0"/>
                <w:szCs w:val="21"/>
              </w:rPr>
              <w:t>资产利用率</w:t>
            </w:r>
          </w:p>
        </w:tc>
      </w:tr>
      <w:tr w14:paraId="0E577EAC">
        <w:tblPrEx>
          <w:tblCellMar>
            <w:top w:w="0" w:type="dxa"/>
            <w:left w:w="108" w:type="dxa"/>
            <w:bottom w:w="0" w:type="dxa"/>
            <w:right w:w="108" w:type="dxa"/>
          </w:tblCellMar>
        </w:tblPrEx>
        <w:trPr>
          <w:trHeight w:val="1080" w:hRule="atLeast"/>
        </w:trPr>
        <w:tc>
          <w:tcPr>
            <w:tcW w:w="1126" w:type="dxa"/>
            <w:tcBorders>
              <w:top w:val="nil"/>
              <w:left w:val="single" w:color="000000" w:sz="8" w:space="0"/>
              <w:bottom w:val="single" w:color="000000" w:sz="8" w:space="0"/>
              <w:right w:val="single" w:color="000000" w:sz="8" w:space="0"/>
            </w:tcBorders>
            <w:shd w:val="clear" w:color="auto" w:fill="auto"/>
            <w:vAlign w:val="center"/>
          </w:tcPr>
          <w:p w14:paraId="709810F0">
            <w:pPr>
              <w:widowControl/>
              <w:jc w:val="center"/>
              <w:textAlignment w:val="center"/>
              <w:rPr>
                <w:rFonts w:eastAsia="仿宋_GB2312"/>
                <w:color w:val="000000"/>
                <w:sz w:val="22"/>
                <w:szCs w:val="22"/>
              </w:rPr>
            </w:pPr>
            <w:r>
              <w:rPr>
                <w:rFonts w:eastAsia="仿宋_GB2312"/>
                <w:color w:val="000000"/>
                <w:kern w:val="0"/>
                <w:sz w:val="22"/>
                <w:szCs w:val="22"/>
              </w:rPr>
              <w:t>遂宁市</w:t>
            </w:r>
            <w:r>
              <w:rPr>
                <w:color w:val="000000"/>
                <w:kern w:val="0"/>
                <w:sz w:val="22"/>
                <w:szCs w:val="22"/>
              </w:rPr>
              <w:t>经济和信息化局</w:t>
            </w:r>
          </w:p>
        </w:tc>
        <w:tc>
          <w:tcPr>
            <w:tcW w:w="1583" w:type="dxa"/>
            <w:tcBorders>
              <w:top w:val="nil"/>
              <w:left w:val="nil"/>
              <w:bottom w:val="single" w:color="000000" w:sz="8" w:space="0"/>
              <w:right w:val="single" w:color="000000" w:sz="8" w:space="0"/>
            </w:tcBorders>
            <w:shd w:val="clear" w:color="auto" w:fill="auto"/>
            <w:vAlign w:val="center"/>
          </w:tcPr>
          <w:p w14:paraId="055701AA">
            <w:pPr>
              <w:widowControl/>
              <w:jc w:val="center"/>
              <w:textAlignment w:val="center"/>
              <w:rPr>
                <w:color w:val="000000"/>
                <w:sz w:val="22"/>
                <w:szCs w:val="22"/>
              </w:rPr>
            </w:pPr>
            <w:r>
              <w:rPr>
                <w:color w:val="000000"/>
                <w:kern w:val="0"/>
                <w:sz w:val="22"/>
                <w:szCs w:val="22"/>
              </w:rPr>
              <w:t>25.28</w:t>
            </w:r>
          </w:p>
        </w:tc>
        <w:tc>
          <w:tcPr>
            <w:tcW w:w="1425" w:type="dxa"/>
            <w:tcBorders>
              <w:top w:val="nil"/>
              <w:left w:val="nil"/>
              <w:bottom w:val="single" w:color="000000" w:sz="8" w:space="0"/>
              <w:right w:val="single" w:color="000000" w:sz="8" w:space="0"/>
            </w:tcBorders>
            <w:shd w:val="clear" w:color="auto" w:fill="auto"/>
            <w:vAlign w:val="center"/>
          </w:tcPr>
          <w:p w14:paraId="41071840">
            <w:pPr>
              <w:widowControl/>
              <w:jc w:val="center"/>
              <w:textAlignment w:val="center"/>
              <w:rPr>
                <w:color w:val="000000"/>
                <w:sz w:val="22"/>
                <w:szCs w:val="22"/>
              </w:rPr>
            </w:pPr>
            <w:r>
              <w:rPr>
                <w:color w:val="000000"/>
                <w:kern w:val="0"/>
                <w:sz w:val="22"/>
                <w:szCs w:val="22"/>
              </w:rPr>
              <w:t>25.28</w:t>
            </w:r>
          </w:p>
        </w:tc>
        <w:tc>
          <w:tcPr>
            <w:tcW w:w="802" w:type="dxa"/>
            <w:tcBorders>
              <w:top w:val="nil"/>
              <w:left w:val="nil"/>
              <w:bottom w:val="single" w:color="000000" w:sz="8" w:space="0"/>
              <w:right w:val="single" w:color="000000" w:sz="8" w:space="0"/>
            </w:tcBorders>
            <w:shd w:val="clear" w:color="auto" w:fill="auto"/>
            <w:vAlign w:val="center"/>
          </w:tcPr>
          <w:p w14:paraId="63EA34A9">
            <w:pPr>
              <w:widowControl/>
              <w:jc w:val="center"/>
              <w:textAlignment w:val="center"/>
              <w:rPr>
                <w:color w:val="000000"/>
                <w:sz w:val="22"/>
                <w:szCs w:val="22"/>
              </w:rPr>
            </w:pPr>
            <w:r>
              <w:rPr>
                <w:color w:val="000000"/>
                <w:kern w:val="0"/>
                <w:sz w:val="22"/>
                <w:szCs w:val="22"/>
              </w:rPr>
              <w:t>100%</w:t>
            </w:r>
          </w:p>
        </w:tc>
        <w:tc>
          <w:tcPr>
            <w:tcW w:w="1665" w:type="dxa"/>
            <w:tcBorders>
              <w:top w:val="nil"/>
              <w:left w:val="nil"/>
              <w:bottom w:val="single" w:color="000000" w:sz="8" w:space="0"/>
              <w:right w:val="single" w:color="000000" w:sz="8" w:space="0"/>
            </w:tcBorders>
            <w:shd w:val="clear" w:color="auto" w:fill="auto"/>
            <w:vAlign w:val="center"/>
          </w:tcPr>
          <w:p w14:paraId="636FE08F">
            <w:pPr>
              <w:widowControl/>
              <w:jc w:val="center"/>
              <w:textAlignment w:val="center"/>
              <w:rPr>
                <w:color w:val="000000"/>
                <w:sz w:val="22"/>
                <w:szCs w:val="22"/>
              </w:rPr>
            </w:pPr>
            <w:r>
              <w:rPr>
                <w:color w:val="000000"/>
                <w:kern w:val="0"/>
                <w:sz w:val="22"/>
                <w:szCs w:val="22"/>
              </w:rPr>
              <w:t>147.95</w:t>
            </w:r>
          </w:p>
        </w:tc>
        <w:tc>
          <w:tcPr>
            <w:tcW w:w="1215" w:type="dxa"/>
            <w:tcBorders>
              <w:top w:val="nil"/>
              <w:left w:val="nil"/>
              <w:bottom w:val="single" w:color="000000" w:sz="8" w:space="0"/>
              <w:right w:val="single" w:color="000000" w:sz="8" w:space="0"/>
            </w:tcBorders>
            <w:shd w:val="clear" w:color="auto" w:fill="auto"/>
            <w:noWrap/>
            <w:vAlign w:val="center"/>
          </w:tcPr>
          <w:p w14:paraId="6383BF63">
            <w:pPr>
              <w:widowControl/>
              <w:jc w:val="center"/>
              <w:textAlignment w:val="center"/>
              <w:rPr>
                <w:color w:val="000000"/>
                <w:sz w:val="22"/>
                <w:szCs w:val="22"/>
              </w:rPr>
            </w:pPr>
            <w:r>
              <w:rPr>
                <w:color w:val="000000"/>
                <w:kern w:val="0"/>
                <w:sz w:val="22"/>
                <w:szCs w:val="22"/>
              </w:rPr>
              <w:t>288.43</w:t>
            </w:r>
          </w:p>
        </w:tc>
        <w:tc>
          <w:tcPr>
            <w:tcW w:w="1155" w:type="dxa"/>
            <w:tcBorders>
              <w:top w:val="nil"/>
              <w:left w:val="nil"/>
              <w:bottom w:val="single" w:color="000000" w:sz="8" w:space="0"/>
              <w:right w:val="single" w:color="000000" w:sz="8" w:space="0"/>
            </w:tcBorders>
            <w:shd w:val="clear" w:color="auto" w:fill="auto"/>
            <w:noWrap/>
            <w:vAlign w:val="center"/>
          </w:tcPr>
          <w:p w14:paraId="5B85840F">
            <w:pPr>
              <w:widowControl/>
              <w:jc w:val="center"/>
              <w:textAlignment w:val="center"/>
              <w:rPr>
                <w:color w:val="000000"/>
                <w:sz w:val="22"/>
                <w:szCs w:val="22"/>
              </w:rPr>
            </w:pPr>
            <w:r>
              <w:rPr>
                <w:color w:val="000000"/>
                <w:kern w:val="0"/>
                <w:sz w:val="22"/>
                <w:szCs w:val="22"/>
              </w:rPr>
              <w:t>77%</w:t>
            </w:r>
          </w:p>
        </w:tc>
      </w:tr>
      <w:bookmarkEnd w:id="119"/>
    </w:tbl>
    <w:p w14:paraId="0ABE9F3A">
      <w:pPr>
        <w:spacing w:line="590" w:lineRule="exact"/>
        <w:ind w:firstLine="592" w:firstLineChars="200"/>
        <w:contextualSpacing/>
        <w:rPr>
          <w:rFonts w:eastAsia="仿宋_GB2312"/>
          <w:spacing w:val="8"/>
          <w:sz w:val="28"/>
          <w:szCs w:val="28"/>
        </w:rPr>
      </w:pPr>
      <w:r>
        <w:rPr>
          <w:rFonts w:eastAsia="仿宋_GB2312"/>
          <w:spacing w:val="8"/>
          <w:sz w:val="28"/>
          <w:szCs w:val="28"/>
        </w:rPr>
        <w:t>（3）资产盘活率</w:t>
      </w:r>
    </w:p>
    <w:p w14:paraId="4A481839">
      <w:pPr>
        <w:spacing w:line="590" w:lineRule="exact"/>
        <w:ind w:firstLine="592" w:firstLineChars="200"/>
        <w:contextualSpacing/>
        <w:rPr>
          <w:rFonts w:eastAsia="仿宋_GB2312"/>
          <w:spacing w:val="8"/>
          <w:sz w:val="28"/>
          <w:szCs w:val="28"/>
        </w:rPr>
      </w:pPr>
      <w:r>
        <w:rPr>
          <w:rFonts w:eastAsia="仿宋_GB2312"/>
          <w:spacing w:val="8"/>
          <w:sz w:val="28"/>
          <w:szCs w:val="28"/>
        </w:rPr>
        <w:t>根据</w:t>
      </w:r>
      <w:bookmarkStart w:id="120" w:name="OLE_LINK6"/>
      <w:r>
        <w:rPr>
          <w:rFonts w:eastAsia="仿宋_GB2312"/>
          <w:spacing w:val="8"/>
          <w:sz w:val="28"/>
          <w:szCs w:val="28"/>
        </w:rPr>
        <w:t>遂宁市</w:t>
      </w:r>
      <w:r>
        <w:rPr>
          <w:spacing w:val="8"/>
          <w:sz w:val="28"/>
          <w:szCs w:val="28"/>
        </w:rPr>
        <w:t>经济和信息化局</w:t>
      </w:r>
      <w:bookmarkEnd w:id="120"/>
      <w:r>
        <w:rPr>
          <w:rFonts w:eastAsia="仿宋_GB2312"/>
          <w:spacing w:val="8"/>
          <w:sz w:val="28"/>
          <w:szCs w:val="28"/>
        </w:rPr>
        <w:t>截至2024年12月31日固定资产卡片明细数据，并结合现场勘查情况，2023年及2024年均无闲置资产，闲置资产占比变化率0%。根据《部门整体支出绩效自评打分表》的评分说明本项指标权重3分，自评得分3分。</w:t>
      </w:r>
    </w:p>
    <w:p w14:paraId="2160CCF9">
      <w:pPr>
        <w:spacing w:line="360" w:lineRule="auto"/>
        <w:ind w:firstLine="7440" w:firstLineChars="3100"/>
        <w:rPr>
          <w:rFonts w:eastAsia="仿宋_GB2312"/>
          <w:sz w:val="24"/>
          <w:szCs w:val="21"/>
        </w:rPr>
      </w:pPr>
      <w:r>
        <w:rPr>
          <w:rFonts w:eastAsia="仿宋_GB2312"/>
          <w:sz w:val="24"/>
          <w:szCs w:val="21"/>
        </w:rPr>
        <w:t>单位：万元</w:t>
      </w:r>
    </w:p>
    <w:tbl>
      <w:tblPr>
        <w:tblStyle w:val="19"/>
        <w:tblW w:w="9058" w:type="dxa"/>
        <w:tblInd w:w="0" w:type="dxa"/>
        <w:tblLayout w:type="fixed"/>
        <w:tblCellMar>
          <w:top w:w="15" w:type="dxa"/>
          <w:left w:w="15" w:type="dxa"/>
          <w:bottom w:w="15" w:type="dxa"/>
          <w:right w:w="15" w:type="dxa"/>
        </w:tblCellMar>
      </w:tblPr>
      <w:tblGrid>
        <w:gridCol w:w="1413"/>
        <w:gridCol w:w="2681"/>
        <w:gridCol w:w="2970"/>
        <w:gridCol w:w="1994"/>
      </w:tblGrid>
      <w:tr w14:paraId="77BDB106">
        <w:tblPrEx>
          <w:tblCellMar>
            <w:top w:w="15" w:type="dxa"/>
            <w:left w:w="15" w:type="dxa"/>
            <w:bottom w:w="15" w:type="dxa"/>
            <w:right w:w="15" w:type="dxa"/>
          </w:tblCellMar>
        </w:tblPrEx>
        <w:trPr>
          <w:trHeight w:val="32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69DFDA66">
            <w:pPr>
              <w:widowControl/>
              <w:adjustRightInd w:val="0"/>
              <w:snapToGrid w:val="0"/>
              <w:jc w:val="center"/>
              <w:textAlignment w:val="center"/>
              <w:rPr>
                <w:rFonts w:eastAsia="仿宋_GB2312"/>
                <w:kern w:val="0"/>
                <w:sz w:val="22"/>
                <w:szCs w:val="22"/>
              </w:rPr>
            </w:pPr>
            <w:r>
              <w:rPr>
                <w:rFonts w:eastAsia="仿宋_GB2312"/>
                <w:kern w:val="0"/>
                <w:sz w:val="22"/>
                <w:szCs w:val="22"/>
              </w:rPr>
              <w:t>年份</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F63F30C">
            <w:pPr>
              <w:widowControl/>
              <w:adjustRightInd w:val="0"/>
              <w:snapToGrid w:val="0"/>
              <w:jc w:val="center"/>
              <w:textAlignment w:val="center"/>
              <w:rPr>
                <w:rFonts w:eastAsia="仿宋_GB2312"/>
                <w:kern w:val="0"/>
                <w:sz w:val="22"/>
                <w:szCs w:val="22"/>
              </w:rPr>
            </w:pPr>
            <w:r>
              <w:rPr>
                <w:rFonts w:eastAsia="仿宋_GB2312"/>
                <w:kern w:val="0"/>
                <w:sz w:val="22"/>
                <w:szCs w:val="22"/>
              </w:rPr>
              <w:t>闲置资产账面价值</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406FD0E">
            <w:pPr>
              <w:widowControl/>
              <w:adjustRightInd w:val="0"/>
              <w:snapToGrid w:val="0"/>
              <w:jc w:val="center"/>
              <w:textAlignment w:val="center"/>
              <w:rPr>
                <w:rFonts w:eastAsia="仿宋_GB2312"/>
                <w:kern w:val="0"/>
                <w:sz w:val="22"/>
                <w:szCs w:val="22"/>
              </w:rPr>
            </w:pPr>
            <w:r>
              <w:rPr>
                <w:rFonts w:eastAsia="仿宋_GB2312"/>
                <w:kern w:val="0"/>
                <w:sz w:val="22"/>
                <w:szCs w:val="22"/>
              </w:rPr>
              <w:t>总资产账面价值</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38F12C93">
            <w:pPr>
              <w:widowControl/>
              <w:adjustRightInd w:val="0"/>
              <w:snapToGrid w:val="0"/>
              <w:jc w:val="center"/>
              <w:textAlignment w:val="center"/>
              <w:rPr>
                <w:rFonts w:eastAsia="仿宋_GB2312"/>
                <w:kern w:val="0"/>
                <w:sz w:val="22"/>
                <w:szCs w:val="22"/>
              </w:rPr>
            </w:pPr>
            <w:r>
              <w:rPr>
                <w:rFonts w:eastAsia="仿宋_GB2312"/>
                <w:kern w:val="0"/>
                <w:sz w:val="22"/>
                <w:szCs w:val="22"/>
              </w:rPr>
              <w:t>资产盘活率</w:t>
            </w:r>
          </w:p>
        </w:tc>
      </w:tr>
      <w:tr w14:paraId="0CBD9737">
        <w:tblPrEx>
          <w:tblCellMar>
            <w:top w:w="15" w:type="dxa"/>
            <w:left w:w="15" w:type="dxa"/>
            <w:bottom w:w="15" w:type="dxa"/>
            <w:right w:w="15" w:type="dxa"/>
          </w:tblCellMar>
        </w:tblPrEx>
        <w:trPr>
          <w:trHeight w:val="32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3C59C934">
            <w:pPr>
              <w:widowControl/>
              <w:adjustRightInd w:val="0"/>
              <w:snapToGrid w:val="0"/>
              <w:jc w:val="center"/>
              <w:textAlignment w:val="center"/>
              <w:rPr>
                <w:rFonts w:eastAsia="仿宋_GB2312"/>
                <w:kern w:val="0"/>
                <w:sz w:val="22"/>
                <w:szCs w:val="22"/>
              </w:rPr>
            </w:pPr>
            <w:r>
              <w:rPr>
                <w:rFonts w:eastAsia="仿宋_GB2312"/>
                <w:kern w:val="0"/>
                <w:sz w:val="22"/>
                <w:szCs w:val="22"/>
              </w:rPr>
              <w:t>2023年</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5EDEE7B3">
            <w:pPr>
              <w:widowControl/>
              <w:adjustRightInd w:val="0"/>
              <w:snapToGrid w:val="0"/>
              <w:jc w:val="center"/>
              <w:textAlignment w:val="center"/>
              <w:rPr>
                <w:rFonts w:eastAsia="仿宋_GB2312"/>
                <w:kern w:val="0"/>
                <w:sz w:val="22"/>
                <w:szCs w:val="22"/>
              </w:rPr>
            </w:pPr>
            <w:r>
              <w:rPr>
                <w:rFonts w:eastAsia="仿宋_GB2312"/>
                <w:kern w:val="0"/>
                <w:sz w:val="22"/>
                <w:szCs w:val="22"/>
              </w:rPr>
              <w:t>0</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6390D90C">
            <w:pPr>
              <w:widowControl/>
              <w:adjustRightInd w:val="0"/>
              <w:snapToGrid w:val="0"/>
              <w:jc w:val="center"/>
              <w:textAlignment w:val="center"/>
              <w:rPr>
                <w:rFonts w:eastAsia="仿宋_GB2312"/>
                <w:kern w:val="0"/>
                <w:sz w:val="22"/>
                <w:szCs w:val="22"/>
              </w:rPr>
            </w:pPr>
            <w:r>
              <w:rPr>
                <w:kern w:val="0"/>
                <w:sz w:val="22"/>
                <w:szCs w:val="22"/>
              </w:rPr>
              <w:t>839.83</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3FE57145">
            <w:pPr>
              <w:widowControl/>
              <w:adjustRightInd w:val="0"/>
              <w:snapToGrid w:val="0"/>
              <w:jc w:val="center"/>
              <w:textAlignment w:val="center"/>
              <w:rPr>
                <w:rFonts w:eastAsia="仿宋_GB2312"/>
                <w:kern w:val="0"/>
                <w:sz w:val="22"/>
                <w:szCs w:val="22"/>
              </w:rPr>
            </w:pPr>
            <w:r>
              <w:rPr>
                <w:rFonts w:eastAsia="仿宋_GB2312"/>
                <w:kern w:val="0"/>
                <w:sz w:val="22"/>
                <w:szCs w:val="22"/>
              </w:rPr>
              <w:t>0%</w:t>
            </w:r>
          </w:p>
        </w:tc>
      </w:tr>
      <w:tr w14:paraId="12825F96">
        <w:tblPrEx>
          <w:tblCellMar>
            <w:top w:w="15" w:type="dxa"/>
            <w:left w:w="15" w:type="dxa"/>
            <w:bottom w:w="15" w:type="dxa"/>
            <w:right w:w="15" w:type="dxa"/>
          </w:tblCellMar>
        </w:tblPrEx>
        <w:trPr>
          <w:trHeight w:val="33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D674C28">
            <w:pPr>
              <w:widowControl/>
              <w:adjustRightInd w:val="0"/>
              <w:snapToGrid w:val="0"/>
              <w:jc w:val="center"/>
              <w:textAlignment w:val="center"/>
              <w:rPr>
                <w:rFonts w:eastAsia="仿宋_GB2312"/>
                <w:kern w:val="0"/>
                <w:sz w:val="22"/>
                <w:szCs w:val="22"/>
              </w:rPr>
            </w:pPr>
            <w:r>
              <w:rPr>
                <w:rFonts w:eastAsia="仿宋_GB2312"/>
                <w:kern w:val="0"/>
                <w:sz w:val="22"/>
                <w:szCs w:val="22"/>
              </w:rPr>
              <w:t>2024年</w:t>
            </w:r>
          </w:p>
        </w:tc>
        <w:tc>
          <w:tcPr>
            <w:tcW w:w="2681"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14C6C9B7">
            <w:pPr>
              <w:widowControl/>
              <w:adjustRightInd w:val="0"/>
              <w:snapToGrid w:val="0"/>
              <w:jc w:val="center"/>
              <w:textAlignment w:val="center"/>
              <w:rPr>
                <w:rFonts w:eastAsia="仿宋_GB2312"/>
                <w:kern w:val="0"/>
                <w:sz w:val="22"/>
                <w:szCs w:val="22"/>
              </w:rPr>
            </w:pPr>
            <w:r>
              <w:rPr>
                <w:rFonts w:eastAsia="仿宋_GB2312"/>
                <w:kern w:val="0"/>
                <w:sz w:val="22"/>
                <w:szCs w:val="22"/>
              </w:rPr>
              <w:t>0</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58768E39">
            <w:pPr>
              <w:widowControl/>
              <w:adjustRightInd w:val="0"/>
              <w:snapToGrid w:val="0"/>
              <w:jc w:val="center"/>
              <w:textAlignment w:val="center"/>
              <w:rPr>
                <w:rFonts w:eastAsia="仿宋_GB2312"/>
                <w:kern w:val="0"/>
                <w:sz w:val="22"/>
                <w:szCs w:val="22"/>
              </w:rPr>
            </w:pPr>
            <w:r>
              <w:rPr>
                <w:kern w:val="0"/>
                <w:sz w:val="22"/>
                <w:szCs w:val="22"/>
              </w:rPr>
              <w:t>488.56</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59280311">
            <w:pPr>
              <w:widowControl/>
              <w:adjustRightInd w:val="0"/>
              <w:snapToGrid w:val="0"/>
              <w:jc w:val="center"/>
              <w:textAlignment w:val="center"/>
              <w:rPr>
                <w:rFonts w:eastAsia="仿宋_GB2312"/>
                <w:kern w:val="0"/>
                <w:sz w:val="22"/>
                <w:szCs w:val="22"/>
              </w:rPr>
            </w:pPr>
            <w:r>
              <w:rPr>
                <w:rFonts w:eastAsia="仿宋_GB2312"/>
                <w:kern w:val="0"/>
                <w:sz w:val="22"/>
                <w:szCs w:val="22"/>
              </w:rPr>
              <w:t>0%</w:t>
            </w:r>
          </w:p>
        </w:tc>
      </w:tr>
    </w:tbl>
    <w:p w14:paraId="510B270E">
      <w:pPr>
        <w:spacing w:line="590" w:lineRule="exact"/>
        <w:ind w:firstLine="660" w:firstLineChars="200"/>
        <w:contextualSpacing/>
        <w:rPr>
          <w:rFonts w:eastAsia="楷体_GB2312"/>
          <w:color w:val="000000"/>
          <w:kern w:val="0"/>
          <w:sz w:val="33"/>
          <w:szCs w:val="33"/>
          <w:shd w:val="clear" w:color="auto" w:fill="FFFFFF"/>
          <w:lang w:val="zh-CN"/>
        </w:rPr>
      </w:pPr>
      <w:r>
        <w:rPr>
          <w:rFonts w:eastAsia="楷体_GB2312"/>
          <w:color w:val="000000"/>
          <w:kern w:val="0"/>
          <w:sz w:val="33"/>
          <w:szCs w:val="33"/>
          <w:shd w:val="clear" w:color="auto" w:fill="FFFFFF"/>
        </w:rPr>
        <w:t>4.</w:t>
      </w:r>
      <w:r>
        <w:rPr>
          <w:rFonts w:eastAsia="楷体_GB2312"/>
          <w:color w:val="000000"/>
          <w:kern w:val="0"/>
          <w:sz w:val="33"/>
          <w:szCs w:val="33"/>
          <w:shd w:val="clear" w:color="auto" w:fill="FFFFFF"/>
          <w:lang w:val="zh-CN"/>
        </w:rPr>
        <w:t>采购管理。</w:t>
      </w:r>
    </w:p>
    <w:p w14:paraId="535AAACF">
      <w:pPr>
        <w:spacing w:line="590" w:lineRule="exact"/>
        <w:ind w:firstLine="560" w:firstLineChars="200"/>
        <w:contextualSpacing/>
        <w:rPr>
          <w:lang w:val="zh-CN"/>
        </w:rPr>
      </w:pPr>
      <w:r>
        <w:rPr>
          <w:rFonts w:eastAsia="楷体_GB2312"/>
          <w:color w:val="000000"/>
          <w:kern w:val="0"/>
          <w:sz w:val="28"/>
          <w:szCs w:val="28"/>
          <w:shd w:val="clear" w:color="auto" w:fill="FFFFFF"/>
        </w:rPr>
        <w:t>本单位无</w:t>
      </w:r>
      <w:r>
        <w:rPr>
          <w:rFonts w:eastAsia="楷体_GB2312"/>
          <w:color w:val="000000"/>
          <w:kern w:val="0"/>
          <w:sz w:val="28"/>
          <w:szCs w:val="28"/>
          <w:shd w:val="clear" w:color="auto" w:fill="FFFFFF"/>
          <w:lang w:val="zh-CN"/>
        </w:rPr>
        <w:t>围绕支持中小企业发展采购项目。</w:t>
      </w:r>
    </w:p>
    <w:p w14:paraId="4CEB4B3A">
      <w:pPr>
        <w:spacing w:line="590" w:lineRule="exact"/>
        <w:ind w:firstLine="660" w:firstLineChars="200"/>
        <w:contextualSpacing/>
        <w:rPr>
          <w:rFonts w:eastAsia="楷体_GB2312"/>
          <w:color w:val="000000"/>
          <w:kern w:val="0"/>
          <w:sz w:val="33"/>
          <w:szCs w:val="33"/>
          <w:shd w:val="clear" w:color="auto" w:fill="FFFFFF"/>
          <w:lang w:val="zh-CN"/>
        </w:rPr>
      </w:pPr>
      <w:r>
        <w:rPr>
          <w:rFonts w:eastAsia="楷体_GB2312"/>
          <w:color w:val="000000"/>
          <w:kern w:val="0"/>
          <w:sz w:val="33"/>
          <w:szCs w:val="33"/>
          <w:shd w:val="clear" w:color="auto" w:fill="FFFFFF"/>
        </w:rPr>
        <w:t>5.</w:t>
      </w:r>
      <w:r>
        <w:rPr>
          <w:rFonts w:eastAsia="楷体_GB2312"/>
          <w:color w:val="000000"/>
          <w:kern w:val="0"/>
          <w:sz w:val="33"/>
          <w:szCs w:val="33"/>
          <w:shd w:val="clear" w:color="auto" w:fill="FFFFFF"/>
          <w:lang w:val="zh-CN"/>
        </w:rPr>
        <w:t>财务管理。</w:t>
      </w:r>
    </w:p>
    <w:p w14:paraId="4EC61E81">
      <w:pPr>
        <w:spacing w:line="590" w:lineRule="exact"/>
        <w:ind w:firstLine="592" w:firstLineChars="200"/>
        <w:contextualSpacing/>
        <w:rPr>
          <w:rFonts w:eastAsia="仿宋_GB2312"/>
          <w:spacing w:val="8"/>
          <w:sz w:val="28"/>
          <w:szCs w:val="28"/>
          <w:lang w:val="zh-CN"/>
        </w:rPr>
      </w:pPr>
      <w:r>
        <w:rPr>
          <w:rFonts w:eastAsia="仿宋_GB2312"/>
          <w:spacing w:val="8"/>
          <w:sz w:val="28"/>
          <w:szCs w:val="28"/>
          <w:lang w:val="zh-CN"/>
        </w:rPr>
        <w:t>（1）财务管理制度</w:t>
      </w:r>
    </w:p>
    <w:p w14:paraId="28C19BF0">
      <w:pPr>
        <w:spacing w:line="590" w:lineRule="exact"/>
        <w:ind w:firstLine="592" w:firstLineChars="200"/>
        <w:contextualSpacing/>
        <w:rPr>
          <w:rFonts w:eastAsia="仿宋_GB2312"/>
          <w:spacing w:val="8"/>
          <w:sz w:val="28"/>
          <w:szCs w:val="28"/>
          <w:lang w:val="zh-CN"/>
        </w:rPr>
      </w:pPr>
      <w:bookmarkStart w:id="121" w:name="OLE_LINK7"/>
      <w:r>
        <w:rPr>
          <w:rFonts w:eastAsia="仿宋_GB2312"/>
          <w:spacing w:val="8"/>
          <w:sz w:val="28"/>
          <w:szCs w:val="28"/>
          <w:lang w:val="zh-CN"/>
        </w:rPr>
        <w:t>遂宁市</w:t>
      </w:r>
      <w:r>
        <w:rPr>
          <w:rFonts w:eastAsia="仿宋_GB2312"/>
          <w:spacing w:val="8"/>
          <w:sz w:val="28"/>
          <w:szCs w:val="28"/>
        </w:rPr>
        <w:t>经济和信息化局</w:t>
      </w:r>
      <w:bookmarkEnd w:id="121"/>
      <w:r>
        <w:rPr>
          <w:rFonts w:eastAsia="仿宋_GB2312"/>
          <w:spacing w:val="8"/>
          <w:sz w:val="28"/>
          <w:szCs w:val="28"/>
          <w:lang w:val="zh-CN"/>
        </w:rPr>
        <w:t>涉及预决算、接待、会议、培训、财务报销、资金管理、采购管理、资产管理、等财务制度，并严格执行有关制度。不涉及扣分。</w:t>
      </w:r>
    </w:p>
    <w:p w14:paraId="0FB8A99B">
      <w:pPr>
        <w:spacing w:line="590" w:lineRule="exact"/>
        <w:ind w:firstLine="592" w:firstLineChars="200"/>
        <w:contextualSpacing/>
        <w:rPr>
          <w:rFonts w:eastAsia="仿宋_GB2312"/>
          <w:spacing w:val="8"/>
          <w:sz w:val="28"/>
          <w:szCs w:val="28"/>
          <w:lang w:val="zh-CN"/>
        </w:rPr>
      </w:pPr>
      <w:r>
        <w:rPr>
          <w:rFonts w:eastAsia="仿宋_GB2312"/>
          <w:spacing w:val="8"/>
          <w:sz w:val="28"/>
          <w:szCs w:val="28"/>
          <w:lang w:val="zh-CN"/>
        </w:rPr>
        <w:t>（</w:t>
      </w:r>
      <w:r>
        <w:rPr>
          <w:rFonts w:eastAsia="仿宋_GB2312"/>
          <w:spacing w:val="8"/>
          <w:sz w:val="28"/>
          <w:szCs w:val="28"/>
        </w:rPr>
        <w:t>2</w:t>
      </w:r>
      <w:r>
        <w:rPr>
          <w:rFonts w:eastAsia="仿宋_GB2312"/>
          <w:spacing w:val="8"/>
          <w:sz w:val="28"/>
          <w:szCs w:val="28"/>
          <w:lang w:val="zh-CN"/>
        </w:rPr>
        <w:t>）财务岗位设置</w:t>
      </w:r>
    </w:p>
    <w:p w14:paraId="1AAA557F">
      <w:pPr>
        <w:spacing w:line="590" w:lineRule="exact"/>
        <w:ind w:firstLine="592" w:firstLineChars="200"/>
        <w:contextualSpacing/>
        <w:rPr>
          <w:rFonts w:eastAsia="仿宋_GB2312"/>
          <w:spacing w:val="8"/>
          <w:sz w:val="28"/>
          <w:szCs w:val="28"/>
          <w:lang w:val="zh-CN"/>
        </w:rPr>
      </w:pPr>
      <w:r>
        <w:rPr>
          <w:rFonts w:eastAsia="仿宋_GB2312"/>
          <w:spacing w:val="8"/>
          <w:sz w:val="28"/>
          <w:szCs w:val="28"/>
          <w:lang w:val="zh-CN"/>
        </w:rPr>
        <w:t>遂宁市</w:t>
      </w:r>
      <w:r>
        <w:rPr>
          <w:rFonts w:eastAsia="仿宋_GB2312"/>
          <w:spacing w:val="8"/>
          <w:sz w:val="28"/>
          <w:szCs w:val="28"/>
        </w:rPr>
        <w:t>经济和信息化局</w:t>
      </w:r>
      <w:r>
        <w:rPr>
          <w:rFonts w:eastAsia="仿宋_GB2312"/>
          <w:spacing w:val="8"/>
          <w:sz w:val="28"/>
          <w:szCs w:val="28"/>
          <w:lang w:val="zh-CN"/>
        </w:rPr>
        <w:t>设置出纳、会计、审核、资产管理等财务工作岗位。出纳岗位主要负责本单位收支核算和资金收缴管理、办理银行账户管理、资金结算业务；会计岗位主要负责财务凭证、报表编制；审核岗位主要负责审核财务原始凭证；资产管理岗位主要负责资产管理登记等。本单位严格实行不相容岗位分离制度。不涉及扣分。</w:t>
      </w:r>
    </w:p>
    <w:p w14:paraId="64D4B8CF">
      <w:pPr>
        <w:spacing w:line="590" w:lineRule="exact"/>
        <w:ind w:firstLine="592" w:firstLineChars="200"/>
        <w:contextualSpacing/>
        <w:rPr>
          <w:rFonts w:eastAsia="仿宋_GB2312"/>
          <w:spacing w:val="8"/>
          <w:sz w:val="28"/>
          <w:szCs w:val="28"/>
          <w:lang w:val="zh-CN"/>
        </w:rPr>
      </w:pPr>
      <w:r>
        <w:rPr>
          <w:rFonts w:eastAsia="仿宋_GB2312"/>
          <w:spacing w:val="8"/>
          <w:sz w:val="28"/>
          <w:szCs w:val="28"/>
          <w:lang w:val="zh-CN"/>
        </w:rPr>
        <w:t>（3）资金使用规范</w:t>
      </w:r>
    </w:p>
    <w:p w14:paraId="42D7B585">
      <w:pPr>
        <w:spacing w:line="590" w:lineRule="exact"/>
        <w:ind w:firstLine="592" w:firstLineChars="200"/>
        <w:contextualSpacing/>
        <w:rPr>
          <w:rFonts w:eastAsia="仿宋_GB2312"/>
          <w:spacing w:val="8"/>
          <w:sz w:val="28"/>
          <w:szCs w:val="28"/>
          <w:lang w:val="zh-CN"/>
        </w:rPr>
      </w:pPr>
      <w:r>
        <w:rPr>
          <w:rFonts w:eastAsia="仿宋_GB2312"/>
          <w:spacing w:val="8"/>
          <w:sz w:val="28"/>
          <w:szCs w:val="28"/>
          <w:lang w:val="zh-CN"/>
        </w:rPr>
        <w:t>2024年，遂宁市</w:t>
      </w:r>
      <w:r>
        <w:rPr>
          <w:rFonts w:eastAsia="仿宋_GB2312"/>
          <w:spacing w:val="8"/>
          <w:sz w:val="28"/>
          <w:szCs w:val="28"/>
        </w:rPr>
        <w:t>经济和信息化局</w:t>
      </w:r>
      <w:r>
        <w:rPr>
          <w:rFonts w:eastAsia="仿宋_GB2312"/>
          <w:spacing w:val="8"/>
          <w:sz w:val="28"/>
          <w:szCs w:val="28"/>
          <w:lang w:val="zh-CN"/>
        </w:rPr>
        <w:t>基本支出严格按照相关政策规定执行，无违规发放津贴补贴的情形，项目支出严格按照批准的用途专款专用，无擅自改变项目内容和资金使用范围的情况，无违规记录。以节约为本，压缩公用经费支出。办公费、印刷费、物业管理费、维修（护）费、培训费、会议费等支出未超年初预算总额，全年整体支出未超年初预算。资金使用符合相关财务管理制度规定，不涉及扣分。</w:t>
      </w:r>
    </w:p>
    <w:p w14:paraId="54A02E88">
      <w:pPr>
        <w:spacing w:line="590" w:lineRule="exact"/>
        <w:ind w:firstLine="592" w:firstLineChars="200"/>
        <w:contextualSpacing/>
        <w:rPr>
          <w:rFonts w:eastAsia="仿宋_GB2312"/>
          <w:color w:val="000000"/>
          <w:kern w:val="0"/>
          <w:sz w:val="28"/>
          <w:szCs w:val="28"/>
          <w:shd w:val="clear" w:color="auto" w:fill="FFFFFF"/>
          <w:lang w:val="zh-CN"/>
        </w:rPr>
      </w:pPr>
      <w:r>
        <w:rPr>
          <w:rFonts w:eastAsia="仿宋_GB2312"/>
          <w:spacing w:val="8"/>
          <w:sz w:val="28"/>
          <w:szCs w:val="28"/>
        </w:rPr>
        <w:t>严格按照《</w:t>
      </w:r>
      <w:r>
        <w:rPr>
          <w:rFonts w:hint="eastAsia" w:eastAsia="仿宋_GB2312"/>
          <w:spacing w:val="8"/>
          <w:sz w:val="28"/>
          <w:szCs w:val="28"/>
          <w:lang w:val="en-US" w:eastAsia="zh-CN"/>
        </w:rPr>
        <w:t>中华人民共和国</w:t>
      </w:r>
      <w:r>
        <w:rPr>
          <w:rFonts w:eastAsia="仿宋_GB2312"/>
          <w:spacing w:val="8"/>
          <w:sz w:val="28"/>
          <w:szCs w:val="28"/>
        </w:rPr>
        <w:t>会计法》《</w:t>
      </w:r>
      <w:r>
        <w:rPr>
          <w:rFonts w:hint="eastAsia" w:eastAsia="仿宋_GB2312"/>
          <w:spacing w:val="8"/>
          <w:sz w:val="28"/>
          <w:szCs w:val="28"/>
          <w:lang w:val="en-US" w:eastAsia="zh-CN"/>
        </w:rPr>
        <w:t>中华人民共和国</w:t>
      </w:r>
      <w:r>
        <w:rPr>
          <w:rFonts w:eastAsia="仿宋_GB2312"/>
          <w:spacing w:val="8"/>
          <w:sz w:val="28"/>
          <w:szCs w:val="28"/>
        </w:rPr>
        <w:t>预算法》及财务管理制度执行，各项支出均符合业务发展规划和相关政策要求，资金使用做到专款专用，</w:t>
      </w:r>
      <w:r>
        <w:rPr>
          <w:rFonts w:eastAsia="仿宋_GB2312"/>
          <w:spacing w:val="8"/>
          <w:sz w:val="28"/>
          <w:szCs w:val="28"/>
          <w:lang w:val="zh-CN"/>
        </w:rPr>
        <w:t>无截留、挤占、挪用等现象。用款程序规范，</w:t>
      </w:r>
      <w:r>
        <w:rPr>
          <w:rFonts w:eastAsia="仿宋_GB2312"/>
          <w:spacing w:val="8"/>
          <w:sz w:val="28"/>
          <w:szCs w:val="28"/>
        </w:rPr>
        <w:t>支出票据来源合法、内容真实；报销手续完备、</w:t>
      </w:r>
      <w:r>
        <w:rPr>
          <w:rFonts w:eastAsia="仿宋_GB2312"/>
          <w:spacing w:val="8"/>
          <w:sz w:val="28"/>
          <w:szCs w:val="28"/>
          <w:lang w:val="zh-CN"/>
        </w:rPr>
        <w:t>结算及时。全部实施专人管理、规范操作，会计核算真实、完整，</w:t>
      </w:r>
      <w:r>
        <w:rPr>
          <w:rFonts w:eastAsia="仿宋_GB2312"/>
          <w:spacing w:val="8"/>
          <w:sz w:val="28"/>
          <w:szCs w:val="28"/>
        </w:rPr>
        <w:t>财务处理及时、</w:t>
      </w:r>
      <w:r>
        <w:rPr>
          <w:rFonts w:eastAsia="仿宋_GB2312"/>
          <w:spacing w:val="8"/>
          <w:sz w:val="28"/>
          <w:szCs w:val="28"/>
          <w:lang w:val="zh-CN"/>
        </w:rPr>
        <w:t>符合相关规定。</w:t>
      </w:r>
    </w:p>
    <w:p w14:paraId="34539F06">
      <w:pPr>
        <w:widowControl/>
        <w:spacing w:line="590" w:lineRule="exact"/>
        <w:ind w:firstLine="562" w:firstLineChars="200"/>
        <w:contextualSpacing/>
        <w:rPr>
          <w:rFonts w:eastAsia="仿宋_GB2312"/>
          <w:color w:val="000000"/>
          <w:kern w:val="0"/>
          <w:sz w:val="28"/>
          <w:szCs w:val="28"/>
          <w:shd w:val="clear" w:color="auto" w:fill="FFFFFF"/>
        </w:rPr>
      </w:pPr>
      <w:r>
        <w:rPr>
          <w:rFonts w:eastAsia="仿宋_GB2312"/>
          <w:b/>
          <w:bCs/>
          <w:color w:val="000000"/>
          <w:kern w:val="0"/>
          <w:sz w:val="28"/>
          <w:szCs w:val="28"/>
          <w:shd w:val="clear" w:color="auto" w:fill="FFFFFF"/>
          <w:lang w:val="zh-CN"/>
        </w:rPr>
        <w:t>（二）部门预算项目绩效分析。</w:t>
      </w:r>
      <w:r>
        <w:rPr>
          <w:rFonts w:eastAsia="仿宋_GB2312"/>
          <w:color w:val="000000"/>
          <w:kern w:val="0"/>
          <w:sz w:val="28"/>
          <w:szCs w:val="28"/>
          <w:shd w:val="clear" w:color="auto" w:fill="FFFFFF"/>
          <w:lang w:val="zh-CN"/>
        </w:rPr>
        <w:t>填报以下数据，并根据部门预算绩效评价指标体系“项目绩效”涉及二、三级指标进行逐项绩效分析并评分，依次包括项目</w:t>
      </w:r>
      <w:r>
        <w:rPr>
          <w:rFonts w:eastAsia="仿宋_GB2312"/>
          <w:color w:val="000000"/>
          <w:kern w:val="0"/>
          <w:sz w:val="28"/>
          <w:szCs w:val="28"/>
          <w:shd w:val="clear" w:color="auto" w:fill="FFFFFF"/>
        </w:rPr>
        <w:t>决策、项目执行、目标实现等情况。</w:t>
      </w:r>
    </w:p>
    <w:p w14:paraId="19CAE2D6">
      <w:pPr>
        <w:spacing w:line="590" w:lineRule="exact"/>
        <w:ind w:firstLine="560" w:firstLineChars="200"/>
        <w:contextualSpacing/>
        <w:rPr>
          <w:rFonts w:eastAsia="仿宋_GB2312"/>
          <w:color w:val="000000"/>
          <w:kern w:val="0"/>
          <w:sz w:val="28"/>
          <w:szCs w:val="28"/>
          <w:shd w:val="clear" w:color="auto" w:fill="FFFFFF"/>
          <w:lang w:val="zh-CN"/>
        </w:rPr>
      </w:pPr>
      <w:r>
        <w:rPr>
          <w:rFonts w:eastAsia="仿宋_GB2312"/>
          <w:color w:val="000000"/>
          <w:kern w:val="0"/>
          <w:sz w:val="28"/>
          <w:szCs w:val="28"/>
          <w:shd w:val="clear" w:color="auto" w:fill="FFFFFF"/>
        </w:rPr>
        <w:t>常年项目绩效分析。</w:t>
      </w:r>
      <w:r>
        <w:rPr>
          <w:rFonts w:eastAsia="仿宋_GB2312"/>
          <w:color w:val="000000"/>
          <w:kern w:val="0"/>
          <w:sz w:val="28"/>
          <w:szCs w:val="28"/>
          <w:shd w:val="clear" w:color="auto" w:fill="FFFFFF"/>
          <w:lang w:val="zh-CN"/>
        </w:rPr>
        <w:t>该类项目总数</w:t>
      </w:r>
      <w:r>
        <w:rPr>
          <w:rFonts w:eastAsia="仿宋_GB2312"/>
          <w:color w:val="000000"/>
          <w:kern w:val="0"/>
          <w:sz w:val="28"/>
          <w:szCs w:val="28"/>
          <w:shd w:val="clear" w:color="auto" w:fill="FFFFFF"/>
        </w:rPr>
        <w:t>10</w:t>
      </w:r>
      <w:r>
        <w:rPr>
          <w:rFonts w:eastAsia="仿宋_GB2312"/>
          <w:color w:val="000000"/>
          <w:kern w:val="0"/>
          <w:sz w:val="28"/>
          <w:szCs w:val="28"/>
          <w:shd w:val="clear" w:color="auto" w:fill="FFFFFF"/>
          <w:lang w:val="zh-CN"/>
        </w:rPr>
        <w:t>个，涉及预算总金额</w:t>
      </w:r>
      <w:r>
        <w:rPr>
          <w:rFonts w:eastAsia="仿宋_GB2312"/>
          <w:color w:val="000000"/>
          <w:kern w:val="0"/>
          <w:sz w:val="28"/>
          <w:szCs w:val="28"/>
          <w:shd w:val="clear" w:color="auto" w:fill="FFFFFF"/>
        </w:rPr>
        <w:t>752.45</w:t>
      </w:r>
      <w:r>
        <w:rPr>
          <w:rFonts w:eastAsia="仿宋_GB2312"/>
          <w:color w:val="000000"/>
          <w:kern w:val="0"/>
          <w:sz w:val="28"/>
          <w:szCs w:val="28"/>
          <w:shd w:val="clear" w:color="auto" w:fill="FFFFFF"/>
          <w:lang w:val="zh-CN"/>
        </w:rPr>
        <w:t>万元，1—1</w:t>
      </w:r>
      <w:r>
        <w:rPr>
          <w:rFonts w:eastAsia="仿宋_GB2312"/>
          <w:color w:val="000000"/>
          <w:kern w:val="0"/>
          <w:sz w:val="28"/>
          <w:szCs w:val="28"/>
          <w:shd w:val="clear" w:color="auto" w:fill="FFFFFF"/>
        </w:rPr>
        <w:t>2</w:t>
      </w:r>
      <w:r>
        <w:rPr>
          <w:rFonts w:eastAsia="仿宋_GB2312"/>
          <w:color w:val="000000"/>
          <w:kern w:val="0"/>
          <w:sz w:val="28"/>
          <w:szCs w:val="28"/>
          <w:shd w:val="clear" w:color="auto" w:fill="FFFFFF"/>
          <w:lang w:val="zh-CN"/>
        </w:rPr>
        <w:t>月预算执行总体进度为</w:t>
      </w:r>
      <w:r>
        <w:rPr>
          <w:rFonts w:eastAsia="仿宋_GB2312"/>
          <w:color w:val="000000"/>
          <w:kern w:val="0"/>
          <w:sz w:val="28"/>
          <w:szCs w:val="28"/>
          <w:shd w:val="clear" w:color="auto" w:fill="FFFFFF"/>
        </w:rPr>
        <w:t>71.89</w:t>
      </w:r>
      <w:r>
        <w:rPr>
          <w:rFonts w:eastAsia="仿宋_GB2312"/>
          <w:color w:val="000000"/>
          <w:kern w:val="0"/>
          <w:sz w:val="28"/>
          <w:szCs w:val="28"/>
          <w:shd w:val="clear" w:color="auto" w:fill="FFFFFF"/>
          <w:lang w:val="zh-CN"/>
        </w:rPr>
        <w:t>%，其中：预算结余率大于</w:t>
      </w:r>
      <w:r>
        <w:rPr>
          <w:rFonts w:eastAsia="仿宋_GB2312"/>
          <w:color w:val="000000"/>
          <w:kern w:val="0"/>
          <w:sz w:val="28"/>
          <w:szCs w:val="28"/>
          <w:shd w:val="clear" w:color="auto" w:fill="FFFFFF"/>
        </w:rPr>
        <w:t>10%</w:t>
      </w:r>
      <w:r>
        <w:rPr>
          <w:rFonts w:eastAsia="仿宋_GB2312"/>
          <w:color w:val="000000"/>
          <w:kern w:val="0"/>
          <w:sz w:val="28"/>
          <w:szCs w:val="28"/>
          <w:shd w:val="clear" w:color="auto" w:fill="FFFFFF"/>
          <w:lang w:val="zh-CN"/>
        </w:rPr>
        <w:t>的项目共计</w:t>
      </w:r>
      <w:r>
        <w:rPr>
          <w:rFonts w:eastAsia="仿宋_GB2312"/>
          <w:color w:val="000000"/>
          <w:kern w:val="0"/>
          <w:sz w:val="28"/>
          <w:szCs w:val="28"/>
          <w:shd w:val="clear" w:color="auto" w:fill="FFFFFF"/>
        </w:rPr>
        <w:t>3</w:t>
      </w:r>
      <w:r>
        <w:rPr>
          <w:rFonts w:eastAsia="仿宋_GB2312"/>
          <w:color w:val="000000"/>
          <w:kern w:val="0"/>
          <w:sz w:val="28"/>
          <w:szCs w:val="28"/>
          <w:shd w:val="clear" w:color="auto" w:fill="FFFFFF"/>
          <w:lang w:val="zh-CN"/>
        </w:rPr>
        <w:t>个。</w:t>
      </w:r>
    </w:p>
    <w:p w14:paraId="0AFADB07">
      <w:pPr>
        <w:spacing w:line="590" w:lineRule="exact"/>
        <w:ind w:firstLine="560" w:firstLineChars="200"/>
        <w:contextualSpacing/>
        <w:rPr>
          <w:rFonts w:eastAsia="仿宋_GB2312"/>
          <w:color w:val="000000"/>
          <w:kern w:val="0"/>
          <w:sz w:val="28"/>
          <w:szCs w:val="28"/>
          <w:shd w:val="clear" w:color="auto" w:fill="FFFFFF"/>
          <w:lang w:val="zh-CN"/>
        </w:rPr>
      </w:pPr>
      <w:r>
        <w:rPr>
          <w:rFonts w:eastAsia="仿宋_GB2312"/>
          <w:color w:val="000000"/>
          <w:kern w:val="0"/>
          <w:sz w:val="28"/>
          <w:szCs w:val="28"/>
          <w:shd w:val="clear" w:color="auto" w:fill="FFFFFF"/>
        </w:rPr>
        <w:t>阶段（一次性）项目绩效分析。</w:t>
      </w:r>
      <w:r>
        <w:rPr>
          <w:rFonts w:eastAsia="仿宋_GB2312"/>
          <w:color w:val="000000"/>
          <w:kern w:val="0"/>
          <w:sz w:val="28"/>
          <w:szCs w:val="28"/>
          <w:shd w:val="clear" w:color="auto" w:fill="FFFFFF"/>
          <w:lang w:val="zh-CN"/>
        </w:rPr>
        <w:t>该类项目总数</w:t>
      </w:r>
      <w:r>
        <w:rPr>
          <w:rFonts w:eastAsia="仿宋_GB2312"/>
          <w:color w:val="000000"/>
          <w:kern w:val="0"/>
          <w:sz w:val="28"/>
          <w:szCs w:val="28"/>
          <w:shd w:val="clear" w:color="auto" w:fill="FFFFFF"/>
        </w:rPr>
        <w:t>1</w:t>
      </w:r>
      <w:r>
        <w:rPr>
          <w:rFonts w:eastAsia="仿宋_GB2312"/>
          <w:color w:val="000000"/>
          <w:kern w:val="0"/>
          <w:sz w:val="28"/>
          <w:szCs w:val="28"/>
          <w:shd w:val="clear" w:color="auto" w:fill="FFFFFF"/>
          <w:lang w:val="zh-CN"/>
        </w:rPr>
        <w:t>个，涉及预算总金额</w:t>
      </w:r>
      <w:r>
        <w:rPr>
          <w:rFonts w:eastAsia="仿宋_GB2312"/>
          <w:color w:val="000000"/>
          <w:kern w:val="0"/>
          <w:sz w:val="28"/>
          <w:szCs w:val="28"/>
          <w:shd w:val="clear" w:color="auto" w:fill="FFFFFF"/>
        </w:rPr>
        <w:t>10.05</w:t>
      </w:r>
      <w:r>
        <w:rPr>
          <w:rFonts w:eastAsia="仿宋_GB2312"/>
          <w:color w:val="000000"/>
          <w:kern w:val="0"/>
          <w:sz w:val="28"/>
          <w:szCs w:val="28"/>
          <w:shd w:val="clear" w:color="auto" w:fill="FFFFFF"/>
          <w:lang w:val="zh-CN"/>
        </w:rPr>
        <w:t>万元，1—1</w:t>
      </w:r>
      <w:r>
        <w:rPr>
          <w:rFonts w:eastAsia="仿宋_GB2312"/>
          <w:color w:val="000000"/>
          <w:kern w:val="0"/>
          <w:sz w:val="28"/>
          <w:szCs w:val="28"/>
          <w:shd w:val="clear" w:color="auto" w:fill="FFFFFF"/>
        </w:rPr>
        <w:t>2</w:t>
      </w:r>
      <w:r>
        <w:rPr>
          <w:rFonts w:eastAsia="仿宋_GB2312"/>
          <w:color w:val="000000"/>
          <w:kern w:val="0"/>
          <w:sz w:val="28"/>
          <w:szCs w:val="28"/>
          <w:shd w:val="clear" w:color="auto" w:fill="FFFFFF"/>
          <w:lang w:val="zh-CN"/>
        </w:rPr>
        <w:t>月预算执行总体进度为</w:t>
      </w:r>
      <w:r>
        <w:rPr>
          <w:rFonts w:eastAsia="仿宋_GB2312"/>
          <w:color w:val="000000"/>
          <w:kern w:val="0"/>
          <w:sz w:val="28"/>
          <w:szCs w:val="28"/>
          <w:shd w:val="clear" w:color="auto" w:fill="FFFFFF"/>
        </w:rPr>
        <w:t>100</w:t>
      </w:r>
      <w:r>
        <w:rPr>
          <w:rFonts w:eastAsia="仿宋_GB2312"/>
          <w:color w:val="000000"/>
          <w:kern w:val="0"/>
          <w:sz w:val="28"/>
          <w:szCs w:val="28"/>
          <w:shd w:val="clear" w:color="auto" w:fill="FFFFFF"/>
          <w:lang w:val="zh-CN"/>
        </w:rPr>
        <w:t>%，其中：预算结余率大于</w:t>
      </w:r>
      <w:r>
        <w:rPr>
          <w:rFonts w:eastAsia="仿宋_GB2312"/>
          <w:color w:val="000000"/>
          <w:kern w:val="0"/>
          <w:sz w:val="28"/>
          <w:szCs w:val="28"/>
          <w:shd w:val="clear" w:color="auto" w:fill="FFFFFF"/>
        </w:rPr>
        <w:t>10%</w:t>
      </w:r>
      <w:r>
        <w:rPr>
          <w:rFonts w:eastAsia="仿宋_GB2312"/>
          <w:color w:val="000000"/>
          <w:kern w:val="0"/>
          <w:sz w:val="28"/>
          <w:szCs w:val="28"/>
          <w:shd w:val="clear" w:color="auto" w:fill="FFFFFF"/>
          <w:lang w:val="zh-CN"/>
        </w:rPr>
        <w:t>的项目共计</w:t>
      </w:r>
      <w:r>
        <w:rPr>
          <w:rFonts w:eastAsia="仿宋_GB2312"/>
          <w:color w:val="000000"/>
          <w:kern w:val="0"/>
          <w:sz w:val="28"/>
          <w:szCs w:val="28"/>
          <w:shd w:val="clear" w:color="auto" w:fill="FFFFFF"/>
        </w:rPr>
        <w:t>0</w:t>
      </w:r>
      <w:r>
        <w:rPr>
          <w:rFonts w:eastAsia="仿宋_GB2312"/>
          <w:color w:val="000000"/>
          <w:kern w:val="0"/>
          <w:sz w:val="28"/>
          <w:szCs w:val="28"/>
          <w:shd w:val="clear" w:color="auto" w:fill="FFFFFF"/>
          <w:lang w:val="zh-CN"/>
        </w:rPr>
        <w:t>个。</w:t>
      </w:r>
    </w:p>
    <w:p w14:paraId="487269BD">
      <w:pPr>
        <w:numPr>
          <w:ilvl w:val="0"/>
          <w:numId w:val="6"/>
        </w:numPr>
        <w:spacing w:line="590" w:lineRule="exact"/>
        <w:ind w:firstLine="560" w:firstLineChars="200"/>
        <w:contextualSpacing/>
        <w:rPr>
          <w:rFonts w:eastAsia="仿宋_GB2312"/>
          <w:color w:val="000000"/>
          <w:kern w:val="0"/>
          <w:sz w:val="28"/>
          <w:szCs w:val="28"/>
          <w:shd w:val="clear" w:color="auto" w:fill="FFFFFF"/>
          <w:lang w:val="zh-CN"/>
        </w:rPr>
      </w:pPr>
      <w:r>
        <w:rPr>
          <w:rFonts w:eastAsia="仿宋_GB2312"/>
          <w:color w:val="000000"/>
          <w:kern w:val="0"/>
          <w:sz w:val="28"/>
          <w:szCs w:val="28"/>
          <w:shd w:val="clear" w:color="auto" w:fill="FFFFFF"/>
          <w:lang w:val="zh-CN"/>
        </w:rPr>
        <w:t>项目决策。</w:t>
      </w:r>
    </w:p>
    <w:p w14:paraId="7C7A7671">
      <w:pPr>
        <w:numPr>
          <w:ilvl w:val="0"/>
          <w:numId w:val="7"/>
        </w:numPr>
        <w:spacing w:line="590" w:lineRule="exact"/>
        <w:ind w:firstLine="592" w:firstLineChars="200"/>
        <w:contextualSpacing/>
        <w:rPr>
          <w:rFonts w:eastAsia="仿宋_GB2312"/>
          <w:spacing w:val="8"/>
          <w:sz w:val="28"/>
          <w:szCs w:val="28"/>
        </w:rPr>
      </w:pPr>
      <w:bookmarkStart w:id="122" w:name="OLE_LINK19"/>
      <w:r>
        <w:rPr>
          <w:rFonts w:eastAsia="仿宋_GB2312"/>
          <w:spacing w:val="8"/>
          <w:sz w:val="28"/>
          <w:szCs w:val="28"/>
        </w:rPr>
        <w:t>决策程序。根据遂宁市财政局《关于加强2025年度市级预算绩效目标管理和事前绩效评估工作的通知》（遂财绩〔2024〕11号），对“年度预算100万元以上的新增项目,年度预算增幅达到30%或增加金额100万元以上的延续性项目”开展事前绩效评估。2024年本部门不存在需要开展事前绩效评估的项目。根据《部门整体支出绩效自评打分表》的评分说明本项指标权重4分、得分4分。</w:t>
      </w:r>
    </w:p>
    <w:p w14:paraId="07684CD6">
      <w:pPr>
        <w:spacing w:line="590" w:lineRule="exact"/>
        <w:ind w:firstLine="592" w:firstLineChars="200"/>
        <w:contextualSpacing/>
        <w:rPr>
          <w:rFonts w:eastAsia="仿宋_GB2312"/>
          <w:spacing w:val="8"/>
          <w:sz w:val="28"/>
          <w:szCs w:val="28"/>
        </w:rPr>
      </w:pPr>
      <w:r>
        <w:rPr>
          <w:rFonts w:eastAsia="仿宋_GB2312"/>
          <w:spacing w:val="8"/>
          <w:sz w:val="28"/>
          <w:szCs w:val="28"/>
        </w:rPr>
        <w:t>（2）目标设置。根据遂宁市财政局《关于加强2025年度市级预算绩效目标管理和事前绩效评估工作的通知》（遂财绩〔2024〕11号）、《部门预算编制通知文件》以及本部门项目绩效目标及预算审核结果。2024年本部门财务机构抽查预算阶段项目(含一次性项目)1个，不存在绩效目标与计划期内的任务量、预算安排不相匹配的部门预算阶段项目(含一次性项目)。根据《部门整体支出绩效自评打分表》的评分说明本项指标权重4分、得分4分。</w:t>
      </w:r>
    </w:p>
    <w:p w14:paraId="1977AC39">
      <w:pPr>
        <w:spacing w:line="590" w:lineRule="exact"/>
        <w:ind w:firstLine="592" w:firstLineChars="200"/>
        <w:contextualSpacing/>
        <w:rPr>
          <w:rFonts w:eastAsia="仿宋_GB2312"/>
          <w:spacing w:val="8"/>
          <w:sz w:val="28"/>
          <w:szCs w:val="28"/>
          <w:lang w:val="zh-CN"/>
        </w:rPr>
      </w:pPr>
      <w:r>
        <w:rPr>
          <w:rFonts w:eastAsia="仿宋_GB2312"/>
          <w:spacing w:val="8"/>
          <w:sz w:val="28"/>
          <w:szCs w:val="28"/>
        </w:rPr>
        <w:t>（3）项目入库。根据项目入库相关要求2024年本部门所有项目均在规定时间内完成项目入库相关程序，保证项目能够及时在一体化平台实施</w:t>
      </w:r>
      <w:r>
        <w:rPr>
          <w:rFonts w:eastAsia="仿宋_GB2312"/>
          <w:spacing w:val="8"/>
          <w:sz w:val="28"/>
          <w:szCs w:val="28"/>
          <w:lang w:val="zh-CN"/>
        </w:rPr>
        <w:t>。</w:t>
      </w:r>
      <w:r>
        <w:rPr>
          <w:rFonts w:eastAsia="仿宋_GB2312"/>
          <w:spacing w:val="8"/>
          <w:sz w:val="28"/>
          <w:szCs w:val="28"/>
        </w:rPr>
        <w:t>根据《部门整体支出绩效自评打分表》的评分说明本项指标权重4分、得分4分。</w:t>
      </w:r>
    </w:p>
    <w:bookmarkEnd w:id="122"/>
    <w:p w14:paraId="7C749688">
      <w:pPr>
        <w:spacing w:line="590" w:lineRule="exact"/>
        <w:ind w:firstLine="560" w:firstLineChars="200"/>
        <w:contextualSpacing/>
        <w:rPr>
          <w:rFonts w:eastAsia="仿宋_GB2312"/>
          <w:spacing w:val="8"/>
          <w:sz w:val="28"/>
          <w:szCs w:val="28"/>
          <w:lang w:val="zh-CN"/>
        </w:rPr>
      </w:pPr>
      <w:r>
        <w:rPr>
          <w:rFonts w:eastAsia="仿宋_GB2312"/>
          <w:color w:val="000000"/>
          <w:kern w:val="0"/>
          <w:sz w:val="28"/>
          <w:szCs w:val="28"/>
          <w:shd w:val="clear" w:color="auto" w:fill="FFFFFF"/>
        </w:rPr>
        <w:t>2.项目执行</w:t>
      </w:r>
      <w:r>
        <w:rPr>
          <w:rFonts w:eastAsia="仿宋_GB2312"/>
          <w:color w:val="000000"/>
          <w:kern w:val="0"/>
          <w:sz w:val="28"/>
          <w:szCs w:val="28"/>
          <w:shd w:val="clear" w:color="auto" w:fill="FFFFFF"/>
          <w:lang w:val="zh-CN"/>
        </w:rPr>
        <w:t>。</w:t>
      </w:r>
      <w:r>
        <w:rPr>
          <w:rFonts w:eastAsia="仿宋_GB2312"/>
          <w:spacing w:val="8"/>
          <w:sz w:val="28"/>
          <w:szCs w:val="28"/>
          <w:lang w:val="zh-CN"/>
        </w:rPr>
        <w:t>部门预算项目实际列支内容与绩效目标设置方向相符，项目预算执行率为</w:t>
      </w:r>
      <w:r>
        <w:rPr>
          <w:rFonts w:eastAsia="仿宋_GB2312"/>
          <w:spacing w:val="8"/>
          <w:sz w:val="28"/>
          <w:szCs w:val="28"/>
        </w:rPr>
        <w:t>71.89</w:t>
      </w:r>
      <w:r>
        <w:rPr>
          <w:rFonts w:eastAsia="仿宋_GB2312"/>
          <w:spacing w:val="8"/>
          <w:sz w:val="28"/>
          <w:szCs w:val="28"/>
          <w:lang w:val="zh-CN"/>
        </w:rPr>
        <w:t>%，具有较好的经济性。均按照进度完成了相关工作的推进，时效性较好。</w:t>
      </w:r>
    </w:p>
    <w:p w14:paraId="5C551B92">
      <w:pPr>
        <w:spacing w:line="590" w:lineRule="exact"/>
        <w:ind w:firstLine="592" w:firstLineChars="200"/>
        <w:contextualSpacing/>
        <w:rPr>
          <w:rFonts w:eastAsia="仿宋_GB2312"/>
          <w:spacing w:val="8"/>
          <w:sz w:val="28"/>
          <w:szCs w:val="28"/>
        </w:rPr>
      </w:pPr>
      <w:r>
        <w:rPr>
          <w:rFonts w:eastAsia="仿宋_GB2312"/>
          <w:spacing w:val="8"/>
          <w:sz w:val="28"/>
          <w:szCs w:val="28"/>
        </w:rPr>
        <w:t>（1）执行同向</w:t>
      </w:r>
    </w:p>
    <w:p w14:paraId="7039E80F">
      <w:pPr>
        <w:spacing w:line="590" w:lineRule="exact"/>
        <w:ind w:firstLine="592" w:firstLineChars="200"/>
        <w:contextualSpacing/>
        <w:rPr>
          <w:rFonts w:eastAsia="仿宋_GB2312"/>
          <w:spacing w:val="8"/>
          <w:sz w:val="28"/>
          <w:szCs w:val="28"/>
        </w:rPr>
      </w:pPr>
      <w:r>
        <w:rPr>
          <w:rFonts w:eastAsia="仿宋_GB2312"/>
          <w:spacing w:val="8"/>
          <w:sz w:val="28"/>
          <w:szCs w:val="28"/>
        </w:rPr>
        <w:t>2024年本部门部门预算阶段项目（含一次性项目）总数11个，按照“抽评的部门预算阶段项目（含一次性项目）总数10个以下的全部纳入，每增加5个多纳入1个，最多不超过30个”，</w:t>
      </w:r>
      <w:r>
        <w:rPr>
          <w:rFonts w:hint="eastAsia" w:eastAsia="仿宋_GB2312"/>
          <w:spacing w:val="8"/>
          <w:sz w:val="28"/>
          <w:szCs w:val="28"/>
          <w:lang w:val="en-US" w:eastAsia="zh-CN"/>
        </w:rPr>
        <w:t>抽评</w:t>
      </w:r>
      <w:r>
        <w:rPr>
          <w:rFonts w:eastAsia="仿宋_GB2312"/>
          <w:spacing w:val="8"/>
          <w:sz w:val="28"/>
          <w:szCs w:val="28"/>
        </w:rPr>
        <w:t>11个项目。根据《部门整体支出绩效自评打分表》的评分说明本项指标权重5分、得分5分。</w:t>
      </w:r>
    </w:p>
    <w:tbl>
      <w:tblPr>
        <w:tblStyle w:val="19"/>
        <w:tblW w:w="9025" w:type="dxa"/>
        <w:tblInd w:w="93" w:type="dxa"/>
        <w:tblLayout w:type="fixed"/>
        <w:tblCellMar>
          <w:top w:w="0" w:type="dxa"/>
          <w:left w:w="108" w:type="dxa"/>
          <w:bottom w:w="0" w:type="dxa"/>
          <w:right w:w="108" w:type="dxa"/>
        </w:tblCellMar>
      </w:tblPr>
      <w:tblGrid>
        <w:gridCol w:w="835"/>
        <w:gridCol w:w="1746"/>
        <w:gridCol w:w="1989"/>
        <w:gridCol w:w="2009"/>
        <w:gridCol w:w="1276"/>
        <w:gridCol w:w="1170"/>
      </w:tblGrid>
      <w:tr w14:paraId="06E32F4D">
        <w:tblPrEx>
          <w:tblCellMar>
            <w:top w:w="0" w:type="dxa"/>
            <w:left w:w="108" w:type="dxa"/>
            <w:bottom w:w="0" w:type="dxa"/>
            <w:right w:w="108" w:type="dxa"/>
          </w:tblCellMar>
        </w:tblPrEx>
        <w:trPr>
          <w:trHeight w:val="285" w:hRule="atLeast"/>
        </w:trPr>
        <w:tc>
          <w:tcPr>
            <w:tcW w:w="8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2A434A">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序号</w:t>
            </w:r>
          </w:p>
        </w:tc>
        <w:tc>
          <w:tcPr>
            <w:tcW w:w="17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2D8F40">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项目名称</w:t>
            </w:r>
          </w:p>
        </w:tc>
        <w:tc>
          <w:tcPr>
            <w:tcW w:w="198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9E926E">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绩效目标设置方向及内容</w:t>
            </w:r>
          </w:p>
        </w:tc>
        <w:tc>
          <w:tcPr>
            <w:tcW w:w="2009" w:type="dxa"/>
            <w:tcBorders>
              <w:top w:val="single" w:color="000000" w:sz="8" w:space="0"/>
              <w:left w:val="single" w:color="000000" w:sz="8" w:space="0"/>
              <w:bottom w:val="nil"/>
              <w:right w:val="single" w:color="000000" w:sz="8" w:space="0"/>
            </w:tcBorders>
            <w:shd w:val="clear" w:color="auto" w:fill="auto"/>
            <w:vAlign w:val="center"/>
          </w:tcPr>
          <w:p w14:paraId="7BC0E165">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实际</w:t>
            </w:r>
          </w:p>
        </w:tc>
        <w:tc>
          <w:tcPr>
            <w:tcW w:w="1276" w:type="dxa"/>
            <w:tcBorders>
              <w:top w:val="single" w:color="000000" w:sz="8" w:space="0"/>
              <w:left w:val="single" w:color="000000" w:sz="8" w:space="0"/>
              <w:bottom w:val="nil"/>
              <w:right w:val="single" w:color="000000" w:sz="8" w:space="0"/>
            </w:tcBorders>
            <w:shd w:val="clear" w:color="auto" w:fill="auto"/>
            <w:vAlign w:val="center"/>
          </w:tcPr>
          <w:p w14:paraId="435CDE1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是否</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0DEF3D">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备注</w:t>
            </w:r>
          </w:p>
        </w:tc>
      </w:tr>
      <w:tr w14:paraId="7CEA77B0">
        <w:tblPrEx>
          <w:tblCellMar>
            <w:top w:w="0" w:type="dxa"/>
            <w:left w:w="108" w:type="dxa"/>
            <w:bottom w:w="0" w:type="dxa"/>
            <w:right w:w="108" w:type="dxa"/>
          </w:tblCellMar>
        </w:tblPrEx>
        <w:trPr>
          <w:trHeight w:val="270" w:hRule="atLeast"/>
        </w:trPr>
        <w:tc>
          <w:tcPr>
            <w:tcW w:w="8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2DE8BB">
            <w:pPr>
              <w:jc w:val="center"/>
              <w:rPr>
                <w:rFonts w:eastAsia="仿宋_GB2312"/>
                <w:color w:val="000000"/>
                <w:sz w:val="22"/>
                <w:szCs w:val="22"/>
              </w:rPr>
            </w:pPr>
          </w:p>
        </w:tc>
        <w:tc>
          <w:tcPr>
            <w:tcW w:w="17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B7AC8A">
            <w:pPr>
              <w:jc w:val="center"/>
              <w:rPr>
                <w:rFonts w:eastAsia="仿宋_GB2312"/>
                <w:color w:val="000000"/>
                <w:sz w:val="22"/>
                <w:szCs w:val="22"/>
              </w:rPr>
            </w:pPr>
          </w:p>
        </w:tc>
        <w:tc>
          <w:tcPr>
            <w:tcW w:w="198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DCC03A">
            <w:pPr>
              <w:jc w:val="center"/>
              <w:rPr>
                <w:rFonts w:eastAsia="仿宋_GB2312"/>
                <w:color w:val="000000"/>
                <w:sz w:val="22"/>
                <w:szCs w:val="22"/>
              </w:rPr>
            </w:pPr>
          </w:p>
        </w:tc>
        <w:tc>
          <w:tcPr>
            <w:tcW w:w="2009" w:type="dxa"/>
            <w:tcBorders>
              <w:top w:val="nil"/>
              <w:left w:val="single" w:color="000000" w:sz="8" w:space="0"/>
              <w:bottom w:val="nil"/>
              <w:right w:val="single" w:color="000000" w:sz="8" w:space="0"/>
            </w:tcBorders>
            <w:shd w:val="clear" w:color="auto" w:fill="auto"/>
            <w:vAlign w:val="center"/>
          </w:tcPr>
          <w:p w14:paraId="444731FF">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列支内容</w:t>
            </w:r>
          </w:p>
        </w:tc>
        <w:tc>
          <w:tcPr>
            <w:tcW w:w="1276" w:type="dxa"/>
            <w:tcBorders>
              <w:top w:val="nil"/>
              <w:left w:val="single" w:color="000000" w:sz="8" w:space="0"/>
              <w:bottom w:val="nil"/>
              <w:right w:val="single" w:color="000000" w:sz="8" w:space="0"/>
            </w:tcBorders>
            <w:shd w:val="clear" w:color="auto" w:fill="auto"/>
            <w:vAlign w:val="center"/>
          </w:tcPr>
          <w:p w14:paraId="48F5D430">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执行同向</w:t>
            </w: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08AE16">
            <w:pPr>
              <w:jc w:val="center"/>
              <w:rPr>
                <w:rFonts w:eastAsia="仿宋_GB2312"/>
                <w:color w:val="000000"/>
                <w:sz w:val="22"/>
                <w:szCs w:val="22"/>
              </w:rPr>
            </w:pPr>
          </w:p>
        </w:tc>
      </w:tr>
      <w:tr w14:paraId="0BA3F854">
        <w:tblPrEx>
          <w:tblCellMar>
            <w:top w:w="0" w:type="dxa"/>
            <w:left w:w="108" w:type="dxa"/>
            <w:bottom w:w="0" w:type="dxa"/>
            <w:right w:w="108" w:type="dxa"/>
          </w:tblCellMar>
        </w:tblPrEx>
        <w:trPr>
          <w:trHeight w:val="72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6856">
            <w:pPr>
              <w:widowControl/>
              <w:adjustRightInd w:val="0"/>
              <w:snapToGrid w:val="0"/>
              <w:jc w:val="center"/>
              <w:textAlignment w:val="center"/>
              <w:rPr>
                <w:rFonts w:eastAsia="仿宋_GB2312"/>
                <w:kern w:val="0"/>
                <w:sz w:val="22"/>
                <w:szCs w:val="22"/>
              </w:rPr>
            </w:pPr>
            <w:r>
              <w:rPr>
                <w:rFonts w:eastAsia="仿宋_GB2312"/>
                <w:kern w:val="0"/>
                <w:sz w:val="22"/>
                <w:szCs w:val="22"/>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7313">
            <w:pPr>
              <w:widowControl/>
              <w:adjustRightInd w:val="0"/>
              <w:snapToGrid w:val="0"/>
              <w:jc w:val="center"/>
              <w:textAlignment w:val="center"/>
              <w:rPr>
                <w:rFonts w:eastAsia="仿宋_GB2312"/>
                <w:kern w:val="0"/>
                <w:sz w:val="22"/>
                <w:szCs w:val="22"/>
              </w:rPr>
            </w:pPr>
            <w:r>
              <w:rPr>
                <w:rFonts w:eastAsia="仿宋_GB2312"/>
                <w:kern w:val="0"/>
                <w:sz w:val="22"/>
                <w:szCs w:val="22"/>
              </w:rPr>
              <w:t>民营经济和中小企业工作经费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1A37">
            <w:pPr>
              <w:widowControl/>
              <w:adjustRightInd w:val="0"/>
              <w:snapToGrid w:val="0"/>
              <w:jc w:val="center"/>
              <w:textAlignment w:val="center"/>
              <w:rPr>
                <w:rFonts w:eastAsia="仿宋_GB2312"/>
                <w:kern w:val="0"/>
                <w:sz w:val="22"/>
                <w:szCs w:val="22"/>
              </w:rPr>
            </w:pPr>
            <w:r>
              <w:rPr>
                <w:rFonts w:eastAsia="仿宋_GB2312"/>
                <w:kern w:val="0"/>
                <w:sz w:val="22"/>
                <w:szCs w:val="22"/>
              </w:rPr>
              <w:t>大力开展民营中小企业培育工作，实施优质中小企业梯度培育计划</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943E">
            <w:pPr>
              <w:widowControl/>
              <w:adjustRightInd w:val="0"/>
              <w:snapToGrid w:val="0"/>
              <w:jc w:val="center"/>
              <w:textAlignment w:val="center"/>
              <w:rPr>
                <w:rFonts w:eastAsia="仿宋_GB2312"/>
                <w:kern w:val="0"/>
                <w:sz w:val="22"/>
                <w:szCs w:val="22"/>
              </w:rPr>
            </w:pPr>
            <w:r>
              <w:rPr>
                <w:kern w:val="0"/>
                <w:sz w:val="22"/>
                <w:szCs w:val="22"/>
              </w:rPr>
              <w:t>聘请第三方机构指导，开展规模涉企政策专题培训、中小企业发展专项资金评审等</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10C4">
            <w:pPr>
              <w:widowControl/>
              <w:adjustRightInd w:val="0"/>
              <w:snapToGrid w:val="0"/>
              <w:jc w:val="center"/>
              <w:textAlignment w:val="center"/>
              <w:rPr>
                <w:rFonts w:eastAsia="仿宋_GB2312"/>
                <w:kern w:val="0"/>
                <w:sz w:val="22"/>
                <w:szCs w:val="22"/>
              </w:rPr>
            </w:pPr>
            <w:bookmarkStart w:id="123" w:name="OLE_LINK32"/>
            <w:r>
              <w:rPr>
                <w:rFonts w:eastAsia="仿宋_GB2312"/>
                <w:kern w:val="0"/>
                <w:sz w:val="22"/>
                <w:szCs w:val="22"/>
              </w:rPr>
              <w:t>是</w:t>
            </w:r>
            <w:bookmarkEnd w:id="123"/>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CF4C">
            <w:pPr>
              <w:widowControl/>
              <w:adjustRightInd w:val="0"/>
              <w:snapToGrid w:val="0"/>
              <w:jc w:val="center"/>
              <w:textAlignment w:val="center"/>
              <w:rPr>
                <w:rFonts w:eastAsia="仿宋_GB2312"/>
                <w:kern w:val="0"/>
                <w:sz w:val="22"/>
                <w:szCs w:val="22"/>
              </w:rPr>
            </w:pPr>
          </w:p>
        </w:tc>
      </w:tr>
      <w:tr w14:paraId="2CED0FDA">
        <w:tblPrEx>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762">
            <w:pPr>
              <w:widowControl/>
              <w:adjustRightInd w:val="0"/>
              <w:snapToGrid w:val="0"/>
              <w:jc w:val="center"/>
              <w:textAlignment w:val="center"/>
              <w:rPr>
                <w:rFonts w:eastAsia="仿宋_GB2312"/>
                <w:kern w:val="0"/>
                <w:sz w:val="22"/>
                <w:szCs w:val="22"/>
              </w:rPr>
            </w:pPr>
            <w:r>
              <w:rPr>
                <w:rFonts w:eastAsia="仿宋_GB2312"/>
                <w:kern w:val="0"/>
                <w:sz w:val="22"/>
                <w:szCs w:val="22"/>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0144">
            <w:pPr>
              <w:widowControl/>
              <w:adjustRightInd w:val="0"/>
              <w:snapToGrid w:val="0"/>
              <w:jc w:val="center"/>
              <w:textAlignment w:val="center"/>
              <w:rPr>
                <w:rFonts w:eastAsia="仿宋_GB2312"/>
                <w:kern w:val="0"/>
                <w:sz w:val="22"/>
                <w:szCs w:val="22"/>
              </w:rPr>
            </w:pPr>
            <w:r>
              <w:rPr>
                <w:rFonts w:eastAsia="仿宋_GB2312"/>
                <w:kern w:val="0"/>
                <w:sz w:val="22"/>
                <w:szCs w:val="22"/>
              </w:rPr>
              <w:t>体制结算-无线电管理经费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EDF3">
            <w:pPr>
              <w:widowControl/>
              <w:adjustRightInd w:val="0"/>
              <w:snapToGrid w:val="0"/>
              <w:jc w:val="center"/>
              <w:textAlignment w:val="center"/>
              <w:rPr>
                <w:rFonts w:eastAsia="仿宋_GB2312"/>
                <w:kern w:val="0"/>
                <w:sz w:val="22"/>
                <w:szCs w:val="22"/>
              </w:rPr>
            </w:pPr>
            <w:r>
              <w:rPr>
                <w:rFonts w:eastAsia="仿宋_GB2312"/>
                <w:kern w:val="0"/>
                <w:sz w:val="22"/>
                <w:szCs w:val="22"/>
              </w:rPr>
              <w:t>全面做好无线电监督管理，有效维护空中电波秩序</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59F9">
            <w:pPr>
              <w:widowControl/>
              <w:adjustRightInd w:val="0"/>
              <w:snapToGrid w:val="0"/>
              <w:jc w:val="center"/>
              <w:textAlignment w:val="center"/>
              <w:rPr>
                <w:rFonts w:eastAsia="仿宋_GB2312"/>
                <w:kern w:val="0"/>
                <w:sz w:val="22"/>
                <w:szCs w:val="22"/>
              </w:rPr>
            </w:pPr>
            <w:r>
              <w:rPr>
                <w:kern w:val="0"/>
                <w:sz w:val="22"/>
                <w:szCs w:val="22"/>
              </w:rPr>
              <w:t>无线电管理经费</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4CC">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4C2D">
            <w:pPr>
              <w:widowControl/>
              <w:adjustRightInd w:val="0"/>
              <w:snapToGrid w:val="0"/>
              <w:jc w:val="center"/>
              <w:textAlignment w:val="center"/>
              <w:rPr>
                <w:rFonts w:eastAsia="仿宋_GB2312"/>
                <w:kern w:val="0"/>
                <w:sz w:val="22"/>
                <w:szCs w:val="22"/>
              </w:rPr>
            </w:pPr>
          </w:p>
        </w:tc>
      </w:tr>
      <w:tr w14:paraId="311E49BD">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A803">
            <w:pPr>
              <w:widowControl/>
              <w:adjustRightInd w:val="0"/>
              <w:snapToGrid w:val="0"/>
              <w:jc w:val="center"/>
              <w:textAlignment w:val="center"/>
              <w:rPr>
                <w:rFonts w:eastAsia="仿宋_GB2312"/>
                <w:kern w:val="0"/>
                <w:sz w:val="22"/>
                <w:szCs w:val="22"/>
              </w:rPr>
            </w:pPr>
            <w:r>
              <w:rPr>
                <w:rFonts w:eastAsia="仿宋_GB2312"/>
                <w:kern w:val="0"/>
                <w:sz w:val="22"/>
                <w:szCs w:val="22"/>
              </w:rPr>
              <w:t>3</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54A5">
            <w:pPr>
              <w:widowControl/>
              <w:adjustRightInd w:val="0"/>
              <w:snapToGrid w:val="0"/>
              <w:jc w:val="center"/>
              <w:textAlignment w:val="center"/>
              <w:rPr>
                <w:rFonts w:eastAsia="仿宋_GB2312"/>
                <w:kern w:val="0"/>
                <w:sz w:val="22"/>
                <w:szCs w:val="22"/>
              </w:rPr>
            </w:pPr>
            <w:r>
              <w:rPr>
                <w:rFonts w:eastAsia="仿宋_GB2312"/>
                <w:kern w:val="0"/>
                <w:sz w:val="22"/>
                <w:szCs w:val="22"/>
              </w:rPr>
              <w:t>人才发展专项资金</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613">
            <w:pPr>
              <w:widowControl/>
              <w:adjustRightInd w:val="0"/>
              <w:snapToGrid w:val="0"/>
              <w:jc w:val="center"/>
              <w:textAlignment w:val="center"/>
              <w:rPr>
                <w:rFonts w:eastAsia="仿宋_GB2312"/>
                <w:kern w:val="0"/>
                <w:sz w:val="22"/>
                <w:szCs w:val="22"/>
              </w:rPr>
            </w:pPr>
            <w:r>
              <w:rPr>
                <w:rFonts w:eastAsia="仿宋_GB2312"/>
                <w:kern w:val="0"/>
                <w:sz w:val="22"/>
                <w:szCs w:val="22"/>
              </w:rPr>
              <w:t>民营企业家赴知名院校学习培训</w:t>
            </w:r>
            <w:r>
              <w:rPr>
                <w:kern w:val="0"/>
                <w:sz w:val="22"/>
                <w:szCs w:val="22"/>
              </w:rPr>
              <w:t>，完成了55人的企业家培训班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3C10">
            <w:pPr>
              <w:widowControl/>
              <w:adjustRightInd w:val="0"/>
              <w:snapToGrid w:val="0"/>
              <w:jc w:val="center"/>
              <w:textAlignment w:val="center"/>
              <w:rPr>
                <w:rFonts w:eastAsia="仿宋_GB2312"/>
                <w:kern w:val="0"/>
                <w:sz w:val="22"/>
                <w:szCs w:val="22"/>
              </w:rPr>
            </w:pPr>
            <w:r>
              <w:rPr>
                <w:kern w:val="0"/>
                <w:sz w:val="22"/>
                <w:szCs w:val="22"/>
              </w:rPr>
              <w:t>人才发展经费</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27C">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E59E">
            <w:pPr>
              <w:widowControl/>
              <w:adjustRightInd w:val="0"/>
              <w:snapToGrid w:val="0"/>
              <w:jc w:val="center"/>
              <w:textAlignment w:val="center"/>
              <w:rPr>
                <w:rFonts w:eastAsia="仿宋_GB2312"/>
                <w:kern w:val="0"/>
                <w:sz w:val="22"/>
                <w:szCs w:val="22"/>
              </w:rPr>
            </w:pPr>
          </w:p>
        </w:tc>
      </w:tr>
      <w:tr w14:paraId="59C2FA9D">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DD50">
            <w:pPr>
              <w:widowControl/>
              <w:adjustRightInd w:val="0"/>
              <w:snapToGrid w:val="0"/>
              <w:jc w:val="center"/>
              <w:textAlignment w:val="center"/>
              <w:rPr>
                <w:rFonts w:eastAsia="仿宋_GB2312"/>
                <w:kern w:val="0"/>
                <w:sz w:val="22"/>
                <w:szCs w:val="22"/>
              </w:rPr>
            </w:pPr>
            <w:r>
              <w:rPr>
                <w:kern w:val="0"/>
                <w:sz w:val="22"/>
                <w:szCs w:val="22"/>
              </w:rPr>
              <w:t>4</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9009">
            <w:pPr>
              <w:widowControl/>
              <w:adjustRightInd w:val="0"/>
              <w:snapToGrid w:val="0"/>
              <w:jc w:val="center"/>
              <w:textAlignment w:val="center"/>
              <w:rPr>
                <w:rFonts w:eastAsia="仿宋_GB2312"/>
                <w:kern w:val="0"/>
                <w:sz w:val="22"/>
                <w:szCs w:val="22"/>
              </w:rPr>
            </w:pPr>
            <w:r>
              <w:rPr>
                <w:rFonts w:eastAsia="仿宋_GB2312"/>
                <w:kern w:val="0"/>
                <w:sz w:val="22"/>
                <w:szCs w:val="22"/>
              </w:rPr>
              <w:t>化工园区扩区调整个人记功嘉奖奖金经费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8478">
            <w:pPr>
              <w:widowControl/>
              <w:adjustRightInd w:val="0"/>
              <w:snapToGrid w:val="0"/>
              <w:jc w:val="center"/>
              <w:textAlignment w:val="center"/>
              <w:rPr>
                <w:rFonts w:eastAsia="仿宋_GB2312"/>
                <w:kern w:val="0"/>
                <w:sz w:val="22"/>
                <w:szCs w:val="22"/>
              </w:rPr>
            </w:pPr>
            <w:r>
              <w:rPr>
                <w:rFonts w:eastAsia="仿宋_GB2312"/>
                <w:kern w:val="0"/>
                <w:sz w:val="22"/>
                <w:szCs w:val="22"/>
              </w:rPr>
              <w:t>对在化工园区扩区调整中作出突出贡献个人记功嘉奖的54名个人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560">
            <w:pPr>
              <w:widowControl/>
              <w:adjustRightInd w:val="0"/>
              <w:snapToGrid w:val="0"/>
              <w:jc w:val="center"/>
              <w:textAlignment w:val="center"/>
              <w:rPr>
                <w:kern w:val="0"/>
                <w:sz w:val="22"/>
                <w:szCs w:val="22"/>
              </w:rPr>
            </w:pPr>
            <w:r>
              <w:rPr>
                <w:rFonts w:eastAsia="仿宋_GB2312"/>
                <w:kern w:val="0"/>
                <w:sz w:val="22"/>
                <w:szCs w:val="22"/>
              </w:rPr>
              <w:t>嘉奖奖金经费</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97B1">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474E">
            <w:pPr>
              <w:widowControl/>
              <w:adjustRightInd w:val="0"/>
              <w:snapToGrid w:val="0"/>
              <w:jc w:val="center"/>
              <w:textAlignment w:val="center"/>
              <w:rPr>
                <w:rFonts w:eastAsia="仿宋_GB2312"/>
                <w:kern w:val="0"/>
                <w:sz w:val="22"/>
                <w:szCs w:val="22"/>
              </w:rPr>
            </w:pPr>
          </w:p>
        </w:tc>
      </w:tr>
      <w:tr w14:paraId="2B320E86">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09E9">
            <w:pPr>
              <w:widowControl/>
              <w:adjustRightInd w:val="0"/>
              <w:snapToGrid w:val="0"/>
              <w:jc w:val="center"/>
              <w:textAlignment w:val="center"/>
              <w:rPr>
                <w:rFonts w:eastAsia="仿宋_GB2312"/>
                <w:kern w:val="0"/>
                <w:sz w:val="22"/>
                <w:szCs w:val="22"/>
              </w:rPr>
            </w:pPr>
            <w:r>
              <w:rPr>
                <w:kern w:val="0"/>
                <w:sz w:val="22"/>
                <w:szCs w:val="22"/>
              </w:rPr>
              <w:t>5</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D0C">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省级工业发展资金（工业和信息化助推乡村振兴  )</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2685">
            <w:pPr>
              <w:widowControl/>
              <w:adjustRightInd w:val="0"/>
              <w:snapToGrid w:val="0"/>
              <w:jc w:val="center"/>
              <w:textAlignment w:val="center"/>
              <w:rPr>
                <w:rFonts w:eastAsia="仿宋_GB2312"/>
                <w:kern w:val="0"/>
                <w:sz w:val="22"/>
                <w:szCs w:val="22"/>
              </w:rPr>
            </w:pPr>
            <w:r>
              <w:rPr>
                <w:rFonts w:eastAsia="仿宋_GB2312"/>
                <w:kern w:val="0"/>
                <w:sz w:val="22"/>
                <w:szCs w:val="22"/>
              </w:rPr>
              <w:t>大力开展绿色食品产业市场拓展活动</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3453">
            <w:pPr>
              <w:widowControl/>
              <w:adjustRightInd w:val="0"/>
              <w:snapToGrid w:val="0"/>
              <w:jc w:val="center"/>
              <w:textAlignment w:val="center"/>
              <w:rPr>
                <w:kern w:val="0"/>
                <w:sz w:val="22"/>
                <w:szCs w:val="22"/>
              </w:rPr>
            </w:pPr>
            <w:r>
              <w:rPr>
                <w:kern w:val="0"/>
                <w:sz w:val="22"/>
                <w:szCs w:val="22"/>
              </w:rPr>
              <w:t>开展第三届成渝美食博览会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CFE6">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72C5">
            <w:pPr>
              <w:widowControl/>
              <w:adjustRightInd w:val="0"/>
              <w:snapToGrid w:val="0"/>
              <w:jc w:val="center"/>
              <w:textAlignment w:val="center"/>
              <w:rPr>
                <w:rFonts w:eastAsia="仿宋_GB2312"/>
                <w:kern w:val="0"/>
                <w:sz w:val="22"/>
                <w:szCs w:val="22"/>
              </w:rPr>
            </w:pPr>
          </w:p>
        </w:tc>
      </w:tr>
      <w:tr w14:paraId="04705D1B">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38BA">
            <w:pPr>
              <w:widowControl/>
              <w:adjustRightInd w:val="0"/>
              <w:snapToGrid w:val="0"/>
              <w:jc w:val="center"/>
              <w:textAlignment w:val="center"/>
              <w:rPr>
                <w:rFonts w:eastAsia="仿宋_GB2312"/>
                <w:kern w:val="0"/>
                <w:sz w:val="22"/>
                <w:szCs w:val="22"/>
              </w:rPr>
            </w:pPr>
            <w:r>
              <w:rPr>
                <w:kern w:val="0"/>
                <w:sz w:val="22"/>
                <w:szCs w:val="22"/>
              </w:rPr>
              <w:t>6</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1384">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2023年第二批省级资金市场开拓   )</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E35B">
            <w:pPr>
              <w:widowControl/>
              <w:adjustRightInd w:val="0"/>
              <w:snapToGrid w:val="0"/>
              <w:jc w:val="center"/>
              <w:textAlignment w:val="center"/>
              <w:rPr>
                <w:rFonts w:eastAsia="仿宋_GB2312"/>
                <w:kern w:val="0"/>
                <w:sz w:val="22"/>
                <w:szCs w:val="22"/>
              </w:rPr>
            </w:pPr>
            <w:r>
              <w:rPr>
                <w:rFonts w:eastAsia="仿宋_GB2312"/>
                <w:kern w:val="0"/>
                <w:sz w:val="22"/>
                <w:szCs w:val="22"/>
              </w:rPr>
              <w:t>安排31场产销配套对接专项活动。全年开展跨区县的产业链供需对接活动12场，“一对一”对接会50余场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07AF">
            <w:pPr>
              <w:widowControl/>
              <w:adjustRightInd w:val="0"/>
              <w:snapToGrid w:val="0"/>
              <w:jc w:val="center"/>
              <w:textAlignment w:val="center"/>
              <w:rPr>
                <w:kern w:val="0"/>
                <w:sz w:val="22"/>
                <w:szCs w:val="22"/>
              </w:rPr>
            </w:pPr>
            <w:r>
              <w:rPr>
                <w:kern w:val="0"/>
                <w:sz w:val="22"/>
                <w:szCs w:val="22"/>
              </w:rPr>
              <w:t>市场开拓活动</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F521">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7206">
            <w:pPr>
              <w:widowControl/>
              <w:adjustRightInd w:val="0"/>
              <w:snapToGrid w:val="0"/>
              <w:jc w:val="center"/>
              <w:textAlignment w:val="center"/>
              <w:rPr>
                <w:rFonts w:eastAsia="仿宋_GB2312"/>
                <w:kern w:val="0"/>
                <w:sz w:val="22"/>
                <w:szCs w:val="22"/>
              </w:rPr>
            </w:pPr>
          </w:p>
        </w:tc>
      </w:tr>
      <w:tr w14:paraId="685B4BF5">
        <w:tblPrEx>
          <w:tblCellMar>
            <w:top w:w="0" w:type="dxa"/>
            <w:left w:w="108" w:type="dxa"/>
            <w:bottom w:w="0" w:type="dxa"/>
            <w:right w:w="108" w:type="dxa"/>
          </w:tblCellMar>
        </w:tblPrEx>
        <w:trPr>
          <w:trHeight w:val="1341"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A70">
            <w:pPr>
              <w:widowControl/>
              <w:adjustRightInd w:val="0"/>
              <w:snapToGrid w:val="0"/>
              <w:jc w:val="center"/>
              <w:textAlignment w:val="center"/>
              <w:rPr>
                <w:rFonts w:eastAsia="仿宋_GB2312"/>
                <w:kern w:val="0"/>
                <w:sz w:val="22"/>
                <w:szCs w:val="22"/>
              </w:rPr>
            </w:pPr>
            <w:r>
              <w:rPr>
                <w:kern w:val="0"/>
                <w:sz w:val="22"/>
                <w:szCs w:val="22"/>
              </w:rPr>
              <w:t>7</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0A51">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2023年结转技改前期经费  )</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855">
            <w:pPr>
              <w:widowControl/>
              <w:adjustRightInd w:val="0"/>
              <w:snapToGrid w:val="0"/>
              <w:jc w:val="center"/>
              <w:textAlignment w:val="center"/>
              <w:rPr>
                <w:rFonts w:eastAsia="仿宋_GB2312"/>
                <w:kern w:val="0"/>
                <w:sz w:val="22"/>
                <w:szCs w:val="22"/>
              </w:rPr>
            </w:pPr>
            <w:r>
              <w:rPr>
                <w:rFonts w:eastAsia="仿宋_GB2312"/>
                <w:kern w:val="0"/>
                <w:sz w:val="22"/>
                <w:szCs w:val="22"/>
              </w:rPr>
              <w:t>组织专家开展项目评审、验收</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1B7D">
            <w:pPr>
              <w:widowControl/>
              <w:adjustRightInd w:val="0"/>
              <w:snapToGrid w:val="0"/>
              <w:jc w:val="center"/>
              <w:textAlignment w:val="center"/>
              <w:rPr>
                <w:kern w:val="0"/>
                <w:sz w:val="22"/>
                <w:szCs w:val="22"/>
              </w:rPr>
            </w:pPr>
            <w:r>
              <w:rPr>
                <w:kern w:val="0"/>
                <w:sz w:val="22"/>
                <w:szCs w:val="22"/>
              </w:rPr>
              <w:t>重点工业和技术改造项目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0625">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6540">
            <w:pPr>
              <w:widowControl/>
              <w:adjustRightInd w:val="0"/>
              <w:snapToGrid w:val="0"/>
              <w:jc w:val="center"/>
              <w:textAlignment w:val="center"/>
              <w:rPr>
                <w:rFonts w:eastAsia="仿宋_GB2312"/>
                <w:kern w:val="0"/>
                <w:sz w:val="22"/>
                <w:szCs w:val="22"/>
              </w:rPr>
            </w:pPr>
          </w:p>
        </w:tc>
      </w:tr>
      <w:tr w14:paraId="4F557839">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28AA">
            <w:pPr>
              <w:widowControl/>
              <w:adjustRightInd w:val="0"/>
              <w:snapToGrid w:val="0"/>
              <w:jc w:val="center"/>
              <w:textAlignment w:val="center"/>
              <w:rPr>
                <w:rFonts w:eastAsia="仿宋_GB2312"/>
                <w:kern w:val="0"/>
                <w:sz w:val="22"/>
                <w:szCs w:val="22"/>
              </w:rPr>
            </w:pPr>
            <w:r>
              <w:rPr>
                <w:kern w:val="0"/>
                <w:sz w:val="22"/>
                <w:szCs w:val="22"/>
              </w:rPr>
              <w:t>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F95">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2023年第二批省级工业发展专项资金（戴帽部分）市场开拓  )</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3BFC">
            <w:pPr>
              <w:widowControl/>
              <w:adjustRightInd w:val="0"/>
              <w:snapToGrid w:val="0"/>
              <w:jc w:val="center"/>
              <w:textAlignment w:val="center"/>
              <w:rPr>
                <w:rFonts w:eastAsia="仿宋_GB2312"/>
                <w:kern w:val="0"/>
                <w:sz w:val="22"/>
                <w:szCs w:val="22"/>
              </w:rPr>
            </w:pPr>
            <w:r>
              <w:rPr>
                <w:rFonts w:eastAsia="仿宋_GB2312"/>
                <w:kern w:val="0"/>
                <w:sz w:val="22"/>
                <w:szCs w:val="22"/>
              </w:rPr>
              <w:t>开展产业招引、市场拓展活动和产业宣传等，推动工业经济高质量发展</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A01">
            <w:pPr>
              <w:widowControl/>
              <w:adjustRightInd w:val="0"/>
              <w:snapToGrid w:val="0"/>
              <w:jc w:val="center"/>
              <w:textAlignment w:val="center"/>
              <w:rPr>
                <w:kern w:val="0"/>
                <w:sz w:val="22"/>
                <w:szCs w:val="22"/>
              </w:rPr>
            </w:pPr>
            <w:r>
              <w:rPr>
                <w:kern w:val="0"/>
                <w:sz w:val="22"/>
                <w:szCs w:val="22"/>
              </w:rPr>
              <w:t>开展中国产业转移大会、中国商飞、遂宁传媒宣传等工作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0D0">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E41C">
            <w:pPr>
              <w:widowControl/>
              <w:adjustRightInd w:val="0"/>
              <w:snapToGrid w:val="0"/>
              <w:jc w:val="center"/>
              <w:textAlignment w:val="center"/>
              <w:rPr>
                <w:rFonts w:eastAsia="仿宋_GB2312"/>
                <w:kern w:val="0"/>
                <w:sz w:val="22"/>
                <w:szCs w:val="22"/>
              </w:rPr>
            </w:pPr>
          </w:p>
        </w:tc>
      </w:tr>
      <w:tr w14:paraId="6F1B5A71">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46BE">
            <w:pPr>
              <w:widowControl/>
              <w:adjustRightInd w:val="0"/>
              <w:snapToGrid w:val="0"/>
              <w:jc w:val="center"/>
              <w:textAlignment w:val="center"/>
              <w:rPr>
                <w:rFonts w:eastAsia="仿宋_GB2312"/>
                <w:kern w:val="0"/>
                <w:sz w:val="22"/>
                <w:szCs w:val="22"/>
              </w:rPr>
            </w:pPr>
            <w:r>
              <w:rPr>
                <w:kern w:val="0"/>
                <w:sz w:val="22"/>
                <w:szCs w:val="22"/>
              </w:rPr>
              <w:t>9</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CC05">
            <w:pPr>
              <w:widowControl/>
              <w:adjustRightInd w:val="0"/>
              <w:snapToGrid w:val="0"/>
              <w:jc w:val="center"/>
              <w:textAlignment w:val="center"/>
              <w:rPr>
                <w:rFonts w:eastAsia="仿宋_GB2312"/>
                <w:kern w:val="0"/>
                <w:sz w:val="22"/>
                <w:szCs w:val="22"/>
              </w:rPr>
            </w:pPr>
            <w:r>
              <w:rPr>
                <w:rFonts w:eastAsia="仿宋_GB2312"/>
                <w:kern w:val="0"/>
                <w:sz w:val="22"/>
                <w:szCs w:val="22"/>
              </w:rPr>
              <w:t>经济运行工作经费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0495">
            <w:pPr>
              <w:widowControl/>
              <w:adjustRightInd w:val="0"/>
              <w:snapToGrid w:val="0"/>
              <w:jc w:val="center"/>
              <w:textAlignment w:val="center"/>
              <w:rPr>
                <w:rFonts w:eastAsia="仿宋_GB2312"/>
                <w:kern w:val="0"/>
                <w:sz w:val="22"/>
                <w:szCs w:val="22"/>
              </w:rPr>
            </w:pPr>
            <w:r>
              <w:rPr>
                <w:rFonts w:eastAsia="仿宋_GB2312"/>
                <w:kern w:val="0"/>
                <w:sz w:val="22"/>
                <w:szCs w:val="22"/>
              </w:rPr>
              <w:t>推动10个以上市级重点工业项目竣工</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500C">
            <w:pPr>
              <w:widowControl/>
              <w:adjustRightInd w:val="0"/>
              <w:snapToGrid w:val="0"/>
              <w:jc w:val="center"/>
              <w:textAlignment w:val="center"/>
              <w:rPr>
                <w:kern w:val="0"/>
                <w:sz w:val="22"/>
                <w:szCs w:val="22"/>
              </w:rPr>
            </w:pPr>
            <w:r>
              <w:rPr>
                <w:kern w:val="0"/>
                <w:sz w:val="22"/>
                <w:szCs w:val="22"/>
              </w:rPr>
              <w:t>开展工业经济运行</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2B18">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0CBF">
            <w:pPr>
              <w:widowControl/>
              <w:adjustRightInd w:val="0"/>
              <w:snapToGrid w:val="0"/>
              <w:jc w:val="center"/>
              <w:textAlignment w:val="center"/>
              <w:rPr>
                <w:rFonts w:eastAsia="仿宋_GB2312"/>
                <w:kern w:val="0"/>
                <w:sz w:val="22"/>
                <w:szCs w:val="22"/>
              </w:rPr>
            </w:pPr>
          </w:p>
        </w:tc>
      </w:tr>
      <w:tr w14:paraId="403A30A0">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3DD3">
            <w:pPr>
              <w:widowControl/>
              <w:adjustRightInd w:val="0"/>
              <w:snapToGrid w:val="0"/>
              <w:jc w:val="center"/>
              <w:textAlignment w:val="center"/>
              <w:rPr>
                <w:rFonts w:eastAsia="仿宋_GB2312"/>
                <w:kern w:val="0"/>
                <w:sz w:val="22"/>
                <w:szCs w:val="22"/>
              </w:rPr>
            </w:pPr>
            <w:r>
              <w:rPr>
                <w:kern w:val="0"/>
                <w:sz w:val="22"/>
                <w:szCs w:val="22"/>
              </w:rPr>
              <w:t>10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1AF3">
            <w:pPr>
              <w:widowControl/>
              <w:adjustRightInd w:val="0"/>
              <w:snapToGrid w:val="0"/>
              <w:jc w:val="center"/>
              <w:textAlignment w:val="center"/>
              <w:rPr>
                <w:rFonts w:eastAsia="仿宋_GB2312"/>
                <w:kern w:val="0"/>
                <w:sz w:val="22"/>
                <w:szCs w:val="22"/>
              </w:rPr>
            </w:pPr>
            <w:r>
              <w:rPr>
                <w:rFonts w:eastAsia="仿宋_GB2312"/>
                <w:kern w:val="0"/>
                <w:sz w:val="22"/>
                <w:szCs w:val="22"/>
              </w:rPr>
              <w:t>跨区域合作专项资</w:t>
            </w:r>
            <w:r>
              <w:rPr>
                <w:kern w:val="0"/>
                <w:sz w:val="22"/>
                <w:szCs w:val="22"/>
              </w:rPr>
              <w:t>金</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B04C">
            <w:pPr>
              <w:widowControl/>
              <w:adjustRightInd w:val="0"/>
              <w:snapToGrid w:val="0"/>
              <w:jc w:val="center"/>
              <w:textAlignment w:val="center"/>
              <w:rPr>
                <w:rFonts w:eastAsia="仿宋_GB2312"/>
                <w:kern w:val="0"/>
                <w:sz w:val="22"/>
                <w:szCs w:val="22"/>
              </w:rPr>
            </w:pPr>
            <w:r>
              <w:rPr>
                <w:rFonts w:eastAsia="仿宋_GB2312"/>
                <w:kern w:val="0"/>
                <w:sz w:val="22"/>
                <w:szCs w:val="22"/>
              </w:rPr>
              <w:t>组织开展“5+1+N”现代产业</w:t>
            </w:r>
            <w:bookmarkStart w:id="124" w:name="OLE_LINK33"/>
            <w:r>
              <w:rPr>
                <w:rFonts w:eastAsia="仿宋_GB2312"/>
                <w:kern w:val="0"/>
                <w:sz w:val="22"/>
                <w:szCs w:val="22"/>
              </w:rPr>
              <w:t>招商引资</w:t>
            </w:r>
            <w:bookmarkEnd w:id="124"/>
            <w:r>
              <w:rPr>
                <w:rFonts w:eastAsia="仿宋_GB2312"/>
                <w:kern w:val="0"/>
                <w:sz w:val="22"/>
                <w:szCs w:val="22"/>
              </w:rPr>
              <w:t>工作。</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EE54">
            <w:pPr>
              <w:widowControl/>
              <w:adjustRightInd w:val="0"/>
              <w:snapToGrid w:val="0"/>
              <w:jc w:val="center"/>
              <w:textAlignment w:val="center"/>
              <w:rPr>
                <w:kern w:val="0"/>
                <w:sz w:val="22"/>
                <w:szCs w:val="22"/>
              </w:rPr>
            </w:pPr>
            <w:r>
              <w:rPr>
                <w:rFonts w:eastAsia="仿宋_GB2312"/>
                <w:kern w:val="0"/>
                <w:sz w:val="22"/>
                <w:szCs w:val="22"/>
              </w:rPr>
              <w:t>招商引资</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9676">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FFB5">
            <w:pPr>
              <w:widowControl/>
              <w:adjustRightInd w:val="0"/>
              <w:snapToGrid w:val="0"/>
              <w:jc w:val="center"/>
              <w:textAlignment w:val="center"/>
              <w:rPr>
                <w:rFonts w:eastAsia="仿宋_GB2312"/>
                <w:kern w:val="0"/>
                <w:sz w:val="22"/>
                <w:szCs w:val="22"/>
              </w:rPr>
            </w:pPr>
          </w:p>
        </w:tc>
      </w:tr>
      <w:tr w14:paraId="42073BD3">
        <w:tblPrEx>
          <w:tblCellMar>
            <w:top w:w="0" w:type="dxa"/>
            <w:left w:w="108" w:type="dxa"/>
            <w:bottom w:w="0" w:type="dxa"/>
            <w:right w:w="108" w:type="dxa"/>
          </w:tblCellMar>
        </w:tblPrEx>
        <w:trPr>
          <w:trHeight w:val="7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DB76">
            <w:pPr>
              <w:widowControl/>
              <w:adjustRightInd w:val="0"/>
              <w:snapToGrid w:val="0"/>
              <w:jc w:val="center"/>
              <w:textAlignment w:val="center"/>
              <w:rPr>
                <w:kern w:val="0"/>
                <w:sz w:val="22"/>
                <w:szCs w:val="22"/>
              </w:rPr>
            </w:pPr>
            <w:r>
              <w:rPr>
                <w:kern w:val="0"/>
                <w:sz w:val="22"/>
                <w:szCs w:val="22"/>
              </w:rPr>
              <w:t>11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656F">
            <w:pPr>
              <w:widowControl/>
              <w:adjustRightInd w:val="0"/>
              <w:snapToGrid w:val="0"/>
              <w:jc w:val="center"/>
              <w:textAlignment w:val="center"/>
              <w:rPr>
                <w:rFonts w:eastAsia="仿宋_GB2312"/>
                <w:kern w:val="0"/>
                <w:sz w:val="22"/>
                <w:szCs w:val="22"/>
              </w:rPr>
            </w:pPr>
            <w:r>
              <w:rPr>
                <w:rFonts w:eastAsia="仿宋_GB2312"/>
                <w:kern w:val="0"/>
                <w:sz w:val="22"/>
                <w:szCs w:val="22"/>
              </w:rPr>
              <w:t>3+3+3产业经费</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56C5">
            <w:pPr>
              <w:widowControl/>
              <w:adjustRightInd w:val="0"/>
              <w:snapToGrid w:val="0"/>
              <w:jc w:val="center"/>
              <w:textAlignment w:val="center"/>
              <w:rPr>
                <w:rFonts w:eastAsia="仿宋_GB2312"/>
                <w:kern w:val="0"/>
                <w:sz w:val="22"/>
                <w:szCs w:val="22"/>
              </w:rPr>
            </w:pPr>
            <w:r>
              <w:rPr>
                <w:rFonts w:eastAsia="仿宋_GB2312"/>
                <w:kern w:val="0"/>
                <w:sz w:val="22"/>
                <w:szCs w:val="22"/>
              </w:rPr>
              <w:t>新培育省级专精特新企业3户以上，组织召开工业经济相关会议，开展各类调研活动4次以上。</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81FB">
            <w:pPr>
              <w:widowControl/>
              <w:adjustRightInd w:val="0"/>
              <w:snapToGrid w:val="0"/>
              <w:jc w:val="center"/>
              <w:textAlignment w:val="center"/>
              <w:rPr>
                <w:kern w:val="0"/>
                <w:sz w:val="22"/>
                <w:szCs w:val="22"/>
              </w:rPr>
            </w:pPr>
            <w:r>
              <w:rPr>
                <w:kern w:val="0"/>
                <w:sz w:val="22"/>
                <w:szCs w:val="22"/>
              </w:rPr>
              <w:t>现代工业体系建设</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EB27">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9658">
            <w:pPr>
              <w:widowControl/>
              <w:adjustRightInd w:val="0"/>
              <w:snapToGrid w:val="0"/>
              <w:jc w:val="center"/>
              <w:textAlignment w:val="center"/>
              <w:rPr>
                <w:rFonts w:eastAsia="仿宋_GB2312"/>
                <w:kern w:val="0"/>
                <w:sz w:val="22"/>
                <w:szCs w:val="22"/>
              </w:rPr>
            </w:pPr>
          </w:p>
        </w:tc>
      </w:tr>
    </w:tbl>
    <w:p w14:paraId="050B4527">
      <w:pPr>
        <w:spacing w:line="590" w:lineRule="exact"/>
        <w:ind w:firstLine="592" w:firstLineChars="200"/>
        <w:contextualSpacing/>
        <w:rPr>
          <w:rFonts w:eastAsia="仿宋_GB2312"/>
          <w:spacing w:val="8"/>
          <w:sz w:val="28"/>
          <w:szCs w:val="28"/>
        </w:rPr>
      </w:pPr>
      <w:r>
        <w:rPr>
          <w:rFonts w:eastAsia="仿宋_GB2312"/>
          <w:spacing w:val="8"/>
          <w:sz w:val="28"/>
          <w:szCs w:val="28"/>
        </w:rPr>
        <w:t>（2）项目调整</w:t>
      </w:r>
    </w:p>
    <w:p w14:paraId="0672CC29">
      <w:pPr>
        <w:spacing w:line="590" w:lineRule="exact"/>
        <w:ind w:firstLine="592" w:firstLineChars="200"/>
        <w:contextualSpacing/>
        <w:rPr>
          <w:rFonts w:eastAsia="仿宋_GB2312"/>
          <w:spacing w:val="8"/>
          <w:sz w:val="28"/>
          <w:szCs w:val="28"/>
        </w:rPr>
      </w:pPr>
      <w:r>
        <w:rPr>
          <w:rFonts w:eastAsia="仿宋_GB2312"/>
          <w:spacing w:val="8"/>
          <w:sz w:val="28"/>
          <w:szCs w:val="28"/>
        </w:rPr>
        <w:t>2024年，遂宁市经济和信息化局不涉及应采取未采取收回预算、调整目标等处置措施的预算项目（含一次性项目）。根据《部门整体支出绩效自评打分表》的评分说明，本项指标权重6分、自评得分6分。</w:t>
      </w:r>
    </w:p>
    <w:p w14:paraId="1FBEAC78">
      <w:pPr>
        <w:spacing w:line="590" w:lineRule="exact"/>
        <w:ind w:firstLine="592" w:firstLineChars="200"/>
        <w:contextualSpacing/>
        <w:rPr>
          <w:rFonts w:eastAsia="仿宋_GB2312"/>
          <w:spacing w:val="8"/>
          <w:sz w:val="28"/>
          <w:szCs w:val="28"/>
        </w:rPr>
      </w:pPr>
      <w:r>
        <w:rPr>
          <w:rFonts w:eastAsia="仿宋_GB2312"/>
          <w:spacing w:val="8"/>
          <w:sz w:val="28"/>
          <w:szCs w:val="28"/>
        </w:rPr>
        <w:t>（3）执行结果</w:t>
      </w:r>
    </w:p>
    <w:p w14:paraId="6494F1B4">
      <w:pPr>
        <w:spacing w:line="590" w:lineRule="exact"/>
        <w:ind w:firstLine="592" w:firstLineChars="200"/>
        <w:contextualSpacing/>
        <w:rPr>
          <w:rFonts w:eastAsia="仿宋_GB2312"/>
          <w:spacing w:val="8"/>
          <w:sz w:val="28"/>
          <w:szCs w:val="28"/>
          <w:lang w:val="zh-CN"/>
        </w:rPr>
      </w:pPr>
      <w:r>
        <w:rPr>
          <w:rFonts w:eastAsia="仿宋_GB2312"/>
          <w:spacing w:val="8"/>
          <w:sz w:val="28"/>
          <w:szCs w:val="28"/>
        </w:rPr>
        <w:t>2024年本单位共实施10个常年项目。根据一体化系统预算可执行情况表，共7个常年项目预算结余率小于10%，3个常年项目预算结余率大于10%。根据《部门整体支出绩效自评打分表》的评分说明本项指标权重4分、得分3.4分。</w:t>
      </w:r>
    </w:p>
    <w:p w14:paraId="3E313FEA">
      <w:pPr>
        <w:numPr>
          <w:ilvl w:val="0"/>
          <w:numId w:val="6"/>
        </w:numPr>
        <w:spacing w:line="560" w:lineRule="exact"/>
        <w:ind w:firstLine="560" w:firstLineChars="200"/>
        <w:rPr>
          <w:rFonts w:eastAsia="仿宋_GB2312"/>
          <w:color w:val="000000"/>
          <w:kern w:val="0"/>
          <w:sz w:val="28"/>
          <w:szCs w:val="28"/>
          <w:shd w:val="clear" w:color="auto" w:fill="FFFFFF"/>
          <w:lang w:val="zh-CN"/>
        </w:rPr>
      </w:pPr>
      <w:r>
        <w:rPr>
          <w:rFonts w:eastAsia="仿宋_GB2312"/>
          <w:color w:val="000000"/>
          <w:kern w:val="0"/>
          <w:sz w:val="28"/>
          <w:szCs w:val="28"/>
          <w:shd w:val="clear" w:color="auto" w:fill="FFFFFF"/>
          <w:lang w:val="zh-CN"/>
        </w:rPr>
        <w:t>目标实现。</w:t>
      </w:r>
    </w:p>
    <w:p w14:paraId="2A0591BE">
      <w:pPr>
        <w:pStyle w:val="44"/>
        <w:ind w:firstLine="560"/>
        <w:rPr>
          <w:rFonts w:eastAsia="仿宋_GB2312"/>
          <w:sz w:val="28"/>
          <w:szCs w:val="28"/>
        </w:rPr>
      </w:pPr>
      <w:r>
        <w:rPr>
          <w:rFonts w:eastAsia="仿宋_GB2312"/>
          <w:sz w:val="28"/>
          <w:szCs w:val="28"/>
        </w:rPr>
        <w:t>遂宁市经济和信息化局2024年一般公共预算总支出2653.43万元，分别为项目支出551.91万元，基本支出2101.52万元。其中:人员经费1857.47万元，主要包括(以实际支出经济分类科目填列):基本工资津贴补贴、奖金、社会保险缴费、绩效工资、机关事业单位基本养老保险缴费、其他工资福利支出、住房公积金、退休费、抚恤金、医疗费补助、其他对个人和家庭的补助支出等。公用经费244.05万元，主要包括(以实际支出经济分类科目填列):办公费、邮电费、差旅费、维修(护)费、会议费、劳务费、工会经费、福利费、其他交通费、其他商品和服务支出等。全年基本支出保证了部门的正常运行和日常工作的正常开展，达到预期绩效目标。</w:t>
      </w:r>
    </w:p>
    <w:p w14:paraId="5D0603AA">
      <w:pPr>
        <w:spacing w:line="590" w:lineRule="exact"/>
        <w:ind w:firstLine="592" w:firstLineChars="200"/>
        <w:contextualSpacing/>
        <w:rPr>
          <w:rFonts w:eastAsia="仿宋_GB2312"/>
          <w:spacing w:val="8"/>
          <w:sz w:val="28"/>
          <w:szCs w:val="28"/>
        </w:rPr>
      </w:pPr>
      <w:bookmarkStart w:id="125" w:name="OLE_LINK23"/>
      <w:r>
        <w:rPr>
          <w:rFonts w:eastAsia="仿宋_GB2312"/>
          <w:spacing w:val="8"/>
          <w:sz w:val="28"/>
          <w:szCs w:val="28"/>
        </w:rPr>
        <w:t>（1）目标完成</w:t>
      </w:r>
    </w:p>
    <w:p w14:paraId="7A2BEB01">
      <w:pPr>
        <w:spacing w:line="590" w:lineRule="exact"/>
        <w:ind w:firstLine="592" w:firstLineChars="200"/>
        <w:contextualSpacing/>
        <w:rPr>
          <w:rFonts w:eastAsia="仿宋_GB2312"/>
          <w:spacing w:val="8"/>
          <w:sz w:val="28"/>
          <w:szCs w:val="28"/>
        </w:rPr>
      </w:pPr>
      <w:r>
        <w:rPr>
          <w:rFonts w:eastAsia="仿宋_GB2312"/>
          <w:spacing w:val="8"/>
          <w:sz w:val="28"/>
          <w:szCs w:val="28"/>
        </w:rPr>
        <w:t>2024年本单位共实施11个项目，财务机构抽查10个项目核查项目目标完成情况。11个项目共有3条数量指标，3条数量指标均完成目标值。根据《部门整体支出绩效自评打分表》的评分说明本项指标权重6分、得分6分。</w:t>
      </w:r>
    </w:p>
    <w:tbl>
      <w:tblPr>
        <w:tblStyle w:val="19"/>
        <w:tblW w:w="8550" w:type="dxa"/>
        <w:tblInd w:w="93" w:type="dxa"/>
        <w:tblLayout w:type="fixed"/>
        <w:tblCellMar>
          <w:top w:w="0" w:type="dxa"/>
          <w:left w:w="108" w:type="dxa"/>
          <w:bottom w:w="0" w:type="dxa"/>
          <w:right w:w="108" w:type="dxa"/>
        </w:tblCellMar>
      </w:tblPr>
      <w:tblGrid>
        <w:gridCol w:w="1015"/>
        <w:gridCol w:w="2226"/>
        <w:gridCol w:w="1425"/>
        <w:gridCol w:w="924"/>
        <w:gridCol w:w="1305"/>
        <w:gridCol w:w="945"/>
        <w:gridCol w:w="710"/>
      </w:tblGrid>
      <w:tr w14:paraId="4B4BACA0">
        <w:tblPrEx>
          <w:tblCellMar>
            <w:top w:w="0" w:type="dxa"/>
            <w:left w:w="108" w:type="dxa"/>
            <w:bottom w:w="0" w:type="dxa"/>
            <w:right w:w="108" w:type="dxa"/>
          </w:tblCellMar>
        </w:tblPrEx>
        <w:trPr>
          <w:trHeight w:val="555"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E1716">
            <w:pPr>
              <w:pStyle w:val="42"/>
              <w:adjustRightInd w:val="0"/>
              <w:snapToGrid w:val="0"/>
              <w:spacing w:line="240" w:lineRule="auto"/>
              <w:rPr>
                <w:rFonts w:eastAsia="黑体" w:cs="Times New Roman"/>
                <w:color w:val="auto"/>
                <w:sz w:val="21"/>
                <w:szCs w:val="21"/>
                <w:lang w:val="en-US"/>
              </w:rPr>
            </w:pPr>
            <w:bookmarkStart w:id="126" w:name="OLE_LINK22" w:colFirst="0" w:colLast="6"/>
            <w:r>
              <w:rPr>
                <w:rFonts w:eastAsia="黑体" w:cs="Times New Roman"/>
                <w:color w:val="auto"/>
                <w:sz w:val="21"/>
                <w:szCs w:val="21"/>
                <w:lang w:val="en-US"/>
              </w:rPr>
              <w:t>序号</w:t>
            </w:r>
          </w:p>
        </w:tc>
        <w:tc>
          <w:tcPr>
            <w:tcW w:w="2226" w:type="dxa"/>
            <w:tcBorders>
              <w:top w:val="single" w:color="000000" w:sz="8" w:space="0"/>
              <w:left w:val="nil"/>
              <w:bottom w:val="single" w:color="000000" w:sz="8" w:space="0"/>
              <w:right w:val="single" w:color="000000" w:sz="8" w:space="0"/>
            </w:tcBorders>
            <w:shd w:val="clear" w:color="auto" w:fill="auto"/>
            <w:vAlign w:val="center"/>
          </w:tcPr>
          <w:p w14:paraId="2478905B">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项目名称</w:t>
            </w:r>
          </w:p>
        </w:tc>
        <w:tc>
          <w:tcPr>
            <w:tcW w:w="1425" w:type="dxa"/>
            <w:tcBorders>
              <w:top w:val="single" w:color="000000" w:sz="8" w:space="0"/>
              <w:left w:val="nil"/>
              <w:bottom w:val="single" w:color="000000" w:sz="8" w:space="0"/>
              <w:right w:val="single" w:color="000000" w:sz="8" w:space="0"/>
            </w:tcBorders>
            <w:shd w:val="clear" w:color="auto" w:fill="auto"/>
            <w:vAlign w:val="center"/>
          </w:tcPr>
          <w:p w14:paraId="02132B46">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数量指标</w:t>
            </w:r>
          </w:p>
        </w:tc>
        <w:tc>
          <w:tcPr>
            <w:tcW w:w="924" w:type="dxa"/>
            <w:tcBorders>
              <w:top w:val="single" w:color="000000" w:sz="8" w:space="0"/>
              <w:left w:val="nil"/>
              <w:bottom w:val="single" w:color="000000" w:sz="8" w:space="0"/>
              <w:right w:val="single" w:color="000000" w:sz="8" w:space="0"/>
            </w:tcBorders>
            <w:shd w:val="clear" w:color="auto" w:fill="auto"/>
            <w:vAlign w:val="center"/>
          </w:tcPr>
          <w:p w14:paraId="49C10C1C">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目标值</w:t>
            </w:r>
          </w:p>
        </w:tc>
        <w:tc>
          <w:tcPr>
            <w:tcW w:w="1305" w:type="dxa"/>
            <w:tcBorders>
              <w:top w:val="single" w:color="000000" w:sz="8" w:space="0"/>
              <w:left w:val="nil"/>
              <w:bottom w:val="single" w:color="000000" w:sz="8" w:space="0"/>
              <w:right w:val="single" w:color="000000" w:sz="8" w:space="0"/>
            </w:tcBorders>
            <w:shd w:val="clear" w:color="auto" w:fill="auto"/>
            <w:vAlign w:val="center"/>
          </w:tcPr>
          <w:p w14:paraId="44F48E58">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完成值</w:t>
            </w:r>
          </w:p>
        </w:tc>
        <w:tc>
          <w:tcPr>
            <w:tcW w:w="945" w:type="dxa"/>
            <w:tcBorders>
              <w:top w:val="single" w:color="000000" w:sz="8" w:space="0"/>
              <w:left w:val="nil"/>
              <w:bottom w:val="single" w:color="000000" w:sz="8" w:space="0"/>
              <w:right w:val="single" w:color="000000" w:sz="8" w:space="0"/>
            </w:tcBorders>
            <w:shd w:val="clear" w:color="auto" w:fill="auto"/>
            <w:vAlign w:val="center"/>
          </w:tcPr>
          <w:p w14:paraId="55CB3990">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目标完成情况</w:t>
            </w:r>
          </w:p>
        </w:tc>
        <w:tc>
          <w:tcPr>
            <w:tcW w:w="710" w:type="dxa"/>
            <w:tcBorders>
              <w:top w:val="single" w:color="000000" w:sz="8" w:space="0"/>
              <w:left w:val="nil"/>
              <w:bottom w:val="single" w:color="000000" w:sz="8" w:space="0"/>
              <w:right w:val="single" w:color="000000" w:sz="8" w:space="0"/>
            </w:tcBorders>
            <w:shd w:val="clear" w:color="auto" w:fill="auto"/>
            <w:vAlign w:val="center"/>
          </w:tcPr>
          <w:p w14:paraId="210B6791">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备注</w:t>
            </w:r>
          </w:p>
        </w:tc>
      </w:tr>
      <w:tr w14:paraId="209558F7">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08CEC">
            <w:pPr>
              <w:widowControl/>
              <w:adjustRightInd w:val="0"/>
              <w:snapToGrid w:val="0"/>
              <w:jc w:val="center"/>
              <w:textAlignment w:val="center"/>
              <w:rPr>
                <w:rFonts w:eastAsia="仿宋_GB2312"/>
                <w:kern w:val="0"/>
                <w:sz w:val="22"/>
                <w:szCs w:val="22"/>
              </w:rPr>
            </w:pPr>
            <w:bookmarkStart w:id="127" w:name="OLE_LINK20" w:colFirst="0" w:colLast="0"/>
            <w:r>
              <w:rPr>
                <w:kern w:val="0"/>
                <w:sz w:val="22"/>
                <w:szCs w:val="22"/>
              </w:rPr>
              <w:t>1</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D88AF">
            <w:pPr>
              <w:widowControl/>
              <w:adjustRightInd w:val="0"/>
              <w:snapToGrid w:val="0"/>
              <w:jc w:val="center"/>
              <w:textAlignment w:val="center"/>
              <w:rPr>
                <w:rFonts w:eastAsia="仿宋_GB2312"/>
                <w:kern w:val="0"/>
                <w:sz w:val="22"/>
                <w:szCs w:val="22"/>
              </w:rPr>
            </w:pPr>
            <w:bookmarkStart w:id="128" w:name="OLE_LINK13"/>
            <w:r>
              <w:rPr>
                <w:rFonts w:eastAsia="仿宋_GB2312"/>
                <w:kern w:val="0"/>
                <w:sz w:val="22"/>
                <w:szCs w:val="22"/>
              </w:rPr>
              <w:t>民营经济和中小企业工作经费</w:t>
            </w:r>
            <w:bookmarkEnd w:id="128"/>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4C74">
            <w:pPr>
              <w:widowControl/>
              <w:adjustRightInd w:val="0"/>
              <w:snapToGrid w:val="0"/>
              <w:jc w:val="center"/>
              <w:textAlignment w:val="center"/>
              <w:rPr>
                <w:rFonts w:eastAsia="仿宋_GB2312"/>
                <w:kern w:val="0"/>
                <w:sz w:val="22"/>
                <w:szCs w:val="22"/>
              </w:rPr>
            </w:pPr>
            <w:r>
              <w:rPr>
                <w:rFonts w:eastAsia="仿宋_GB2312"/>
                <w:kern w:val="0"/>
                <w:sz w:val="22"/>
                <w:szCs w:val="22"/>
              </w:rPr>
              <w:t>制作政策宣传手册</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5445D1">
            <w:pPr>
              <w:widowControl/>
              <w:adjustRightInd w:val="0"/>
              <w:snapToGrid w:val="0"/>
              <w:jc w:val="center"/>
              <w:textAlignment w:val="center"/>
              <w:rPr>
                <w:rFonts w:eastAsia="仿宋_GB2312"/>
                <w:kern w:val="0"/>
                <w:sz w:val="22"/>
                <w:szCs w:val="22"/>
              </w:rPr>
            </w:pPr>
            <w:bookmarkStart w:id="129" w:name="OLE_LINK8"/>
            <w:r>
              <w:rPr>
                <w:rFonts w:eastAsia="仿宋_GB2312"/>
                <w:kern w:val="0"/>
                <w:sz w:val="22"/>
                <w:szCs w:val="22"/>
              </w:rPr>
              <w:t>1000本</w:t>
            </w:r>
            <w:bookmarkEnd w:id="129"/>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EBF418">
            <w:pPr>
              <w:widowControl/>
              <w:adjustRightInd w:val="0"/>
              <w:snapToGrid w:val="0"/>
              <w:jc w:val="center"/>
              <w:textAlignment w:val="center"/>
              <w:rPr>
                <w:rFonts w:eastAsia="仿宋_GB2312"/>
                <w:kern w:val="0"/>
                <w:sz w:val="22"/>
                <w:szCs w:val="22"/>
              </w:rPr>
            </w:pPr>
            <w:r>
              <w:rPr>
                <w:rFonts w:eastAsia="仿宋_GB2312"/>
                <w:kern w:val="0"/>
                <w:sz w:val="22"/>
                <w:szCs w:val="22"/>
              </w:rPr>
              <w:t>1000本</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482EF">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31629">
            <w:pPr>
              <w:widowControl/>
              <w:adjustRightInd w:val="0"/>
              <w:snapToGrid w:val="0"/>
              <w:jc w:val="center"/>
              <w:textAlignment w:val="center"/>
              <w:rPr>
                <w:rFonts w:eastAsia="仿宋_GB2312"/>
                <w:kern w:val="0"/>
                <w:sz w:val="22"/>
                <w:szCs w:val="22"/>
              </w:rPr>
            </w:pPr>
          </w:p>
        </w:tc>
      </w:tr>
      <w:tr w14:paraId="784FD398">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44DD9">
            <w:pPr>
              <w:widowControl/>
              <w:adjustRightInd w:val="0"/>
              <w:snapToGrid w:val="0"/>
              <w:jc w:val="center"/>
              <w:textAlignment w:val="center"/>
              <w:rPr>
                <w:rFonts w:eastAsia="仿宋_GB2312"/>
                <w:kern w:val="0"/>
                <w:sz w:val="22"/>
                <w:szCs w:val="22"/>
              </w:rPr>
            </w:pPr>
            <w:r>
              <w:rPr>
                <w:kern w:val="0"/>
                <w:sz w:val="22"/>
                <w:szCs w:val="22"/>
              </w:rPr>
              <w:t>2</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6BE98">
            <w:pPr>
              <w:widowControl/>
              <w:adjustRightInd w:val="0"/>
              <w:snapToGrid w:val="0"/>
              <w:jc w:val="center"/>
              <w:textAlignment w:val="center"/>
              <w:rPr>
                <w:rFonts w:eastAsia="仿宋_GB2312"/>
                <w:kern w:val="0"/>
                <w:sz w:val="22"/>
                <w:szCs w:val="22"/>
              </w:rPr>
            </w:pPr>
            <w:bookmarkStart w:id="130" w:name="OLE_LINK14"/>
            <w:r>
              <w:rPr>
                <w:rFonts w:eastAsia="仿宋_GB2312"/>
                <w:kern w:val="0"/>
                <w:sz w:val="22"/>
                <w:szCs w:val="22"/>
              </w:rPr>
              <w:t>人才发展专项资金</w:t>
            </w:r>
            <w:bookmarkEnd w:id="130"/>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A0865">
            <w:pPr>
              <w:widowControl/>
              <w:adjustRightInd w:val="0"/>
              <w:snapToGrid w:val="0"/>
              <w:jc w:val="center"/>
              <w:textAlignment w:val="center"/>
              <w:rPr>
                <w:rFonts w:eastAsia="仿宋_GB2312"/>
                <w:kern w:val="0"/>
                <w:sz w:val="22"/>
                <w:szCs w:val="22"/>
              </w:rPr>
            </w:pPr>
            <w:r>
              <w:rPr>
                <w:rFonts w:eastAsia="仿宋_GB2312"/>
                <w:kern w:val="0"/>
                <w:sz w:val="22"/>
                <w:szCs w:val="22"/>
              </w:rPr>
              <w:t>培训人数</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FF0861">
            <w:pPr>
              <w:widowControl/>
              <w:adjustRightInd w:val="0"/>
              <w:snapToGrid w:val="0"/>
              <w:jc w:val="center"/>
              <w:textAlignment w:val="center"/>
              <w:rPr>
                <w:rFonts w:eastAsia="仿宋_GB2312"/>
                <w:kern w:val="0"/>
                <w:sz w:val="22"/>
                <w:szCs w:val="22"/>
              </w:rPr>
            </w:pPr>
            <w:r>
              <w:rPr>
                <w:rFonts w:eastAsia="仿宋_GB2312"/>
                <w:kern w:val="0"/>
                <w:sz w:val="22"/>
                <w:szCs w:val="22"/>
              </w:rPr>
              <w:t>55人</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480C1">
            <w:pPr>
              <w:widowControl/>
              <w:adjustRightInd w:val="0"/>
              <w:snapToGrid w:val="0"/>
              <w:jc w:val="center"/>
              <w:textAlignment w:val="center"/>
              <w:rPr>
                <w:rFonts w:eastAsia="仿宋_GB2312"/>
                <w:kern w:val="0"/>
                <w:sz w:val="22"/>
                <w:szCs w:val="22"/>
              </w:rPr>
            </w:pPr>
            <w:r>
              <w:rPr>
                <w:rFonts w:eastAsia="仿宋_GB2312"/>
                <w:kern w:val="0"/>
                <w:sz w:val="22"/>
                <w:szCs w:val="22"/>
              </w:rPr>
              <w:t>55人</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845B8">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8F088">
            <w:pPr>
              <w:widowControl/>
              <w:adjustRightInd w:val="0"/>
              <w:snapToGrid w:val="0"/>
              <w:jc w:val="center"/>
              <w:textAlignment w:val="center"/>
              <w:rPr>
                <w:rFonts w:eastAsia="仿宋_GB2312"/>
                <w:kern w:val="0"/>
                <w:sz w:val="22"/>
                <w:szCs w:val="22"/>
              </w:rPr>
            </w:pPr>
          </w:p>
        </w:tc>
      </w:tr>
      <w:tr w14:paraId="25C00E82">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37621">
            <w:pPr>
              <w:widowControl/>
              <w:adjustRightInd w:val="0"/>
              <w:snapToGrid w:val="0"/>
              <w:jc w:val="center"/>
              <w:textAlignment w:val="center"/>
              <w:rPr>
                <w:rFonts w:eastAsia="仿宋_GB2312"/>
                <w:kern w:val="0"/>
                <w:sz w:val="22"/>
                <w:szCs w:val="22"/>
              </w:rPr>
            </w:pPr>
            <w:r>
              <w:rPr>
                <w:kern w:val="0"/>
                <w:sz w:val="22"/>
                <w:szCs w:val="22"/>
              </w:rPr>
              <w:t>3</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1285D">
            <w:pPr>
              <w:widowControl/>
              <w:adjustRightInd w:val="0"/>
              <w:snapToGrid w:val="0"/>
              <w:jc w:val="center"/>
              <w:textAlignment w:val="center"/>
              <w:rPr>
                <w:rFonts w:eastAsia="仿宋_GB2312"/>
                <w:kern w:val="0"/>
                <w:sz w:val="22"/>
                <w:szCs w:val="22"/>
              </w:rPr>
            </w:pPr>
            <w:bookmarkStart w:id="131" w:name="OLE_LINK15"/>
            <w:r>
              <w:rPr>
                <w:rFonts w:eastAsia="仿宋_GB2312"/>
                <w:kern w:val="0"/>
                <w:sz w:val="22"/>
                <w:szCs w:val="22"/>
              </w:rPr>
              <w:t>化工园区扩区调整个人记功嘉奖奖金经费</w:t>
            </w:r>
            <w:bookmarkEnd w:id="131"/>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1AF2C">
            <w:pPr>
              <w:widowControl/>
              <w:adjustRightInd w:val="0"/>
              <w:snapToGrid w:val="0"/>
              <w:jc w:val="center"/>
              <w:textAlignment w:val="center"/>
              <w:rPr>
                <w:rFonts w:eastAsia="仿宋_GB2312"/>
                <w:kern w:val="0"/>
                <w:sz w:val="22"/>
                <w:szCs w:val="22"/>
              </w:rPr>
            </w:pPr>
            <w:r>
              <w:rPr>
                <w:rFonts w:eastAsia="仿宋_GB2312"/>
                <w:kern w:val="0"/>
                <w:sz w:val="22"/>
                <w:szCs w:val="22"/>
              </w:rPr>
              <w:t>记功嘉奖名额</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EF1A2A">
            <w:pPr>
              <w:widowControl/>
              <w:adjustRightInd w:val="0"/>
              <w:snapToGrid w:val="0"/>
              <w:jc w:val="center"/>
              <w:textAlignment w:val="center"/>
              <w:rPr>
                <w:rFonts w:eastAsia="仿宋_GB2312"/>
                <w:kern w:val="0"/>
                <w:sz w:val="22"/>
                <w:szCs w:val="22"/>
              </w:rPr>
            </w:pPr>
            <w:r>
              <w:rPr>
                <w:rFonts w:eastAsia="仿宋_GB2312"/>
                <w:kern w:val="0"/>
                <w:sz w:val="22"/>
                <w:szCs w:val="22"/>
              </w:rPr>
              <w:t>54人</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83A2F8">
            <w:pPr>
              <w:widowControl/>
              <w:adjustRightInd w:val="0"/>
              <w:snapToGrid w:val="0"/>
              <w:jc w:val="center"/>
              <w:textAlignment w:val="center"/>
              <w:rPr>
                <w:rFonts w:eastAsia="仿宋_GB2312"/>
                <w:kern w:val="0"/>
                <w:sz w:val="22"/>
                <w:szCs w:val="22"/>
              </w:rPr>
            </w:pPr>
            <w:r>
              <w:rPr>
                <w:rFonts w:eastAsia="仿宋_GB2312"/>
                <w:kern w:val="0"/>
                <w:sz w:val="22"/>
                <w:szCs w:val="22"/>
              </w:rPr>
              <w:t>54人</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50BBA">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DFB00">
            <w:pPr>
              <w:widowControl/>
              <w:adjustRightInd w:val="0"/>
              <w:snapToGrid w:val="0"/>
              <w:jc w:val="center"/>
              <w:textAlignment w:val="center"/>
              <w:rPr>
                <w:rFonts w:eastAsia="仿宋_GB2312"/>
                <w:kern w:val="0"/>
                <w:sz w:val="22"/>
                <w:szCs w:val="22"/>
              </w:rPr>
            </w:pPr>
          </w:p>
        </w:tc>
      </w:tr>
      <w:tr w14:paraId="77078B5A">
        <w:tblPrEx>
          <w:tblCellMar>
            <w:top w:w="0" w:type="dxa"/>
            <w:left w:w="108" w:type="dxa"/>
            <w:bottom w:w="0" w:type="dxa"/>
            <w:right w:w="108" w:type="dxa"/>
          </w:tblCellMar>
        </w:tblPrEx>
        <w:trPr>
          <w:trHeight w:val="761"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929FD">
            <w:pPr>
              <w:widowControl/>
              <w:adjustRightInd w:val="0"/>
              <w:snapToGrid w:val="0"/>
              <w:jc w:val="center"/>
              <w:textAlignment w:val="center"/>
              <w:rPr>
                <w:rFonts w:eastAsia="仿宋_GB2312"/>
                <w:kern w:val="0"/>
                <w:sz w:val="22"/>
                <w:szCs w:val="22"/>
              </w:rPr>
            </w:pPr>
            <w:bookmarkStart w:id="132" w:name="OLE_LINK17" w:colFirst="1" w:colLast="1"/>
            <w:r>
              <w:rPr>
                <w:kern w:val="0"/>
                <w:sz w:val="22"/>
                <w:szCs w:val="22"/>
              </w:rPr>
              <w:t>4</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1643B">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省级工业发展资金（工业和信息化助推乡村振兴  )</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9C35D">
            <w:pPr>
              <w:widowControl/>
              <w:adjustRightInd w:val="0"/>
              <w:snapToGrid w:val="0"/>
              <w:jc w:val="center"/>
              <w:textAlignment w:val="center"/>
              <w:rPr>
                <w:rFonts w:eastAsia="仿宋_GB2312"/>
                <w:kern w:val="0"/>
                <w:sz w:val="22"/>
                <w:szCs w:val="22"/>
              </w:rPr>
            </w:pPr>
            <w:r>
              <w:rPr>
                <w:rFonts w:eastAsia="仿宋_GB2312"/>
                <w:kern w:val="0"/>
                <w:sz w:val="22"/>
                <w:szCs w:val="22"/>
              </w:rPr>
              <w:t>资金使用额度</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2296C0">
            <w:pPr>
              <w:widowControl/>
              <w:adjustRightInd w:val="0"/>
              <w:snapToGrid w:val="0"/>
              <w:jc w:val="center"/>
              <w:textAlignment w:val="center"/>
              <w:rPr>
                <w:rFonts w:eastAsia="仿宋_GB2312"/>
                <w:kern w:val="0"/>
                <w:sz w:val="22"/>
                <w:szCs w:val="22"/>
              </w:rPr>
            </w:pPr>
            <w:bookmarkStart w:id="133" w:name="OLE_LINK21"/>
            <w:bookmarkStart w:id="134" w:name="OLE_LINK9"/>
            <w:r>
              <w:rPr>
                <w:rFonts w:ascii="宋体"/>
                <w:kern w:val="0"/>
                <w:sz w:val="22"/>
                <w:szCs w:val="22"/>
              </w:rPr>
              <w:t>≦</w:t>
            </w:r>
            <w:r>
              <w:rPr>
                <w:rFonts w:eastAsia="仿宋_GB2312"/>
                <w:kern w:val="0"/>
                <w:sz w:val="22"/>
                <w:szCs w:val="22"/>
              </w:rPr>
              <w:t>196.71</w:t>
            </w:r>
            <w:bookmarkEnd w:id="133"/>
            <w:r>
              <w:rPr>
                <w:rFonts w:eastAsia="仿宋_GB2312"/>
                <w:kern w:val="0"/>
                <w:sz w:val="22"/>
                <w:szCs w:val="22"/>
              </w:rPr>
              <w:t>万元</w:t>
            </w:r>
            <w:bookmarkEnd w:id="134"/>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5232D1">
            <w:pPr>
              <w:widowControl/>
              <w:adjustRightInd w:val="0"/>
              <w:snapToGrid w:val="0"/>
              <w:jc w:val="center"/>
              <w:textAlignment w:val="center"/>
              <w:rPr>
                <w:rFonts w:eastAsia="仿宋_GB2312"/>
                <w:kern w:val="0"/>
                <w:sz w:val="22"/>
                <w:szCs w:val="22"/>
              </w:rPr>
            </w:pPr>
            <w:r>
              <w:rPr>
                <w:kern w:val="0"/>
                <w:sz w:val="22"/>
                <w:szCs w:val="22"/>
              </w:rPr>
              <w:t>181.87</w:t>
            </w:r>
            <w:r>
              <w:rPr>
                <w:rFonts w:eastAsia="仿宋_GB2312"/>
                <w:kern w:val="0"/>
                <w:sz w:val="22"/>
                <w:szCs w:val="22"/>
              </w:rPr>
              <w:t>万元</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315ED">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ED946">
            <w:pPr>
              <w:widowControl/>
              <w:adjustRightInd w:val="0"/>
              <w:snapToGrid w:val="0"/>
              <w:jc w:val="center"/>
              <w:textAlignment w:val="center"/>
              <w:rPr>
                <w:rFonts w:eastAsia="仿宋_GB2312"/>
                <w:kern w:val="0"/>
                <w:sz w:val="22"/>
                <w:szCs w:val="22"/>
              </w:rPr>
            </w:pPr>
          </w:p>
        </w:tc>
      </w:tr>
      <w:tr w14:paraId="222C41A4">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4C842">
            <w:pPr>
              <w:widowControl/>
              <w:adjustRightInd w:val="0"/>
              <w:snapToGrid w:val="0"/>
              <w:jc w:val="center"/>
              <w:textAlignment w:val="center"/>
              <w:rPr>
                <w:rFonts w:eastAsia="仿宋_GB2312"/>
                <w:kern w:val="0"/>
                <w:sz w:val="22"/>
                <w:szCs w:val="22"/>
              </w:rPr>
            </w:pPr>
            <w:r>
              <w:rPr>
                <w:kern w:val="0"/>
                <w:sz w:val="22"/>
                <w:szCs w:val="22"/>
              </w:rPr>
              <w:t>5</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12004">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2023年第二批省级资金市场开拓   )</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90317">
            <w:pPr>
              <w:widowControl/>
              <w:adjustRightInd w:val="0"/>
              <w:snapToGrid w:val="0"/>
              <w:jc w:val="center"/>
              <w:textAlignment w:val="center"/>
              <w:rPr>
                <w:rFonts w:eastAsia="仿宋_GB2312"/>
                <w:kern w:val="0"/>
                <w:sz w:val="22"/>
                <w:szCs w:val="22"/>
              </w:rPr>
            </w:pPr>
            <w:r>
              <w:rPr>
                <w:rFonts w:eastAsia="仿宋_GB2312"/>
                <w:kern w:val="0"/>
                <w:sz w:val="22"/>
                <w:szCs w:val="22"/>
              </w:rPr>
              <w:t>举办市场开拓数量</w:t>
            </w:r>
            <w:r>
              <w:rPr>
                <w:rFonts w:ascii="宋体"/>
                <w:kern w:val="0"/>
                <w:sz w:val="22"/>
                <w:szCs w:val="22"/>
              </w:rPr>
              <w:t>≧</w:t>
            </w:r>
            <w:r>
              <w:rPr>
                <w:rFonts w:eastAsia="仿宋_GB2312"/>
                <w:kern w:val="0"/>
                <w:sz w:val="22"/>
                <w:szCs w:val="22"/>
              </w:rPr>
              <w:t>10场</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F28A10">
            <w:pPr>
              <w:widowControl/>
              <w:adjustRightInd w:val="0"/>
              <w:snapToGrid w:val="0"/>
              <w:jc w:val="center"/>
              <w:textAlignment w:val="center"/>
              <w:rPr>
                <w:rFonts w:eastAsia="仿宋_GB2312"/>
                <w:kern w:val="0"/>
                <w:sz w:val="22"/>
                <w:szCs w:val="22"/>
              </w:rPr>
            </w:pPr>
            <w:r>
              <w:rPr>
                <w:rFonts w:eastAsia="仿宋_GB2312"/>
                <w:kern w:val="0"/>
                <w:sz w:val="22"/>
                <w:szCs w:val="22"/>
              </w:rPr>
              <w:t>10场</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1626C1">
            <w:pPr>
              <w:widowControl/>
              <w:adjustRightInd w:val="0"/>
              <w:snapToGrid w:val="0"/>
              <w:jc w:val="center"/>
              <w:textAlignment w:val="center"/>
              <w:rPr>
                <w:rFonts w:eastAsia="仿宋_GB2312"/>
                <w:kern w:val="0"/>
                <w:sz w:val="22"/>
                <w:szCs w:val="22"/>
              </w:rPr>
            </w:pPr>
            <w:r>
              <w:rPr>
                <w:rFonts w:eastAsia="仿宋_GB2312"/>
                <w:kern w:val="0"/>
                <w:sz w:val="22"/>
                <w:szCs w:val="22"/>
              </w:rPr>
              <w:t>10场</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B16F0">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8EF73">
            <w:pPr>
              <w:widowControl/>
              <w:adjustRightInd w:val="0"/>
              <w:snapToGrid w:val="0"/>
              <w:jc w:val="center"/>
              <w:textAlignment w:val="center"/>
              <w:rPr>
                <w:rFonts w:eastAsia="仿宋_GB2312"/>
                <w:kern w:val="0"/>
                <w:sz w:val="22"/>
                <w:szCs w:val="22"/>
              </w:rPr>
            </w:pPr>
          </w:p>
        </w:tc>
      </w:tr>
      <w:tr w14:paraId="76350CCA">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8981C">
            <w:pPr>
              <w:widowControl/>
              <w:adjustRightInd w:val="0"/>
              <w:snapToGrid w:val="0"/>
              <w:jc w:val="center"/>
              <w:textAlignment w:val="center"/>
              <w:rPr>
                <w:rFonts w:eastAsia="仿宋_GB2312"/>
                <w:kern w:val="0"/>
                <w:sz w:val="22"/>
                <w:szCs w:val="22"/>
              </w:rPr>
            </w:pPr>
            <w:r>
              <w:rPr>
                <w:kern w:val="0"/>
                <w:sz w:val="22"/>
                <w:szCs w:val="22"/>
              </w:rPr>
              <w:t>6</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72E46">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2023年结转技改前期经费  )</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CCC39">
            <w:pPr>
              <w:widowControl/>
              <w:adjustRightInd w:val="0"/>
              <w:snapToGrid w:val="0"/>
              <w:jc w:val="center"/>
              <w:textAlignment w:val="center"/>
              <w:rPr>
                <w:rFonts w:eastAsia="仿宋_GB2312"/>
                <w:kern w:val="0"/>
                <w:sz w:val="22"/>
                <w:szCs w:val="22"/>
              </w:rPr>
            </w:pPr>
            <w:r>
              <w:rPr>
                <w:rFonts w:ascii="宋体"/>
                <w:kern w:val="0"/>
                <w:sz w:val="22"/>
                <w:szCs w:val="22"/>
              </w:rPr>
              <w:t>≧</w:t>
            </w:r>
            <w:r>
              <w:rPr>
                <w:rFonts w:eastAsia="仿宋_GB2312"/>
                <w:kern w:val="0"/>
                <w:sz w:val="22"/>
                <w:szCs w:val="22"/>
              </w:rPr>
              <w:t>100</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3BC5F6">
            <w:pPr>
              <w:widowControl/>
              <w:adjustRightInd w:val="0"/>
              <w:snapToGrid w:val="0"/>
              <w:jc w:val="center"/>
              <w:textAlignment w:val="center"/>
              <w:rPr>
                <w:rFonts w:eastAsia="仿宋_GB2312"/>
                <w:kern w:val="0"/>
                <w:sz w:val="22"/>
                <w:szCs w:val="22"/>
              </w:rPr>
            </w:pPr>
            <w:r>
              <w:rPr>
                <w:rFonts w:ascii="宋体"/>
                <w:kern w:val="0"/>
                <w:sz w:val="22"/>
                <w:szCs w:val="22"/>
              </w:rPr>
              <w:t>≧</w:t>
            </w:r>
            <w:r>
              <w:rPr>
                <w:rFonts w:eastAsia="仿宋_GB2312"/>
                <w:kern w:val="0"/>
                <w:sz w:val="22"/>
                <w:szCs w:val="22"/>
              </w:rPr>
              <w:t>100个</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FCAD36">
            <w:pPr>
              <w:widowControl/>
              <w:adjustRightInd w:val="0"/>
              <w:snapToGrid w:val="0"/>
              <w:jc w:val="center"/>
              <w:textAlignment w:val="center"/>
              <w:rPr>
                <w:rFonts w:eastAsia="仿宋_GB2312"/>
                <w:kern w:val="0"/>
                <w:sz w:val="22"/>
                <w:szCs w:val="22"/>
              </w:rPr>
            </w:pPr>
            <w:r>
              <w:rPr>
                <w:rFonts w:eastAsia="仿宋_GB2312"/>
                <w:kern w:val="0"/>
                <w:sz w:val="22"/>
                <w:szCs w:val="22"/>
              </w:rPr>
              <w:t>100个</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4DB60">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6951F">
            <w:pPr>
              <w:widowControl/>
              <w:adjustRightInd w:val="0"/>
              <w:snapToGrid w:val="0"/>
              <w:jc w:val="center"/>
              <w:textAlignment w:val="center"/>
              <w:rPr>
                <w:rFonts w:eastAsia="仿宋_GB2312"/>
                <w:kern w:val="0"/>
                <w:sz w:val="22"/>
                <w:szCs w:val="22"/>
              </w:rPr>
            </w:pPr>
          </w:p>
        </w:tc>
      </w:tr>
      <w:tr w14:paraId="36DC6153">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91FD8">
            <w:pPr>
              <w:widowControl/>
              <w:adjustRightInd w:val="0"/>
              <w:snapToGrid w:val="0"/>
              <w:jc w:val="center"/>
              <w:textAlignment w:val="center"/>
              <w:rPr>
                <w:rFonts w:eastAsia="仿宋_GB2312"/>
                <w:kern w:val="0"/>
                <w:sz w:val="22"/>
                <w:szCs w:val="22"/>
              </w:rPr>
            </w:pPr>
            <w:r>
              <w:rPr>
                <w:kern w:val="0"/>
                <w:sz w:val="22"/>
                <w:szCs w:val="22"/>
              </w:rPr>
              <w:t>7</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9ABAF">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2023年第二批省级工业发展专项资金（戴帽部分）市场开拓  )</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51A77">
            <w:pPr>
              <w:widowControl/>
              <w:adjustRightInd w:val="0"/>
              <w:snapToGrid w:val="0"/>
              <w:jc w:val="center"/>
              <w:textAlignment w:val="center"/>
              <w:rPr>
                <w:rFonts w:eastAsia="仿宋_GB2312"/>
                <w:kern w:val="0"/>
                <w:sz w:val="22"/>
                <w:szCs w:val="22"/>
              </w:rPr>
            </w:pPr>
            <w:r>
              <w:rPr>
                <w:rFonts w:eastAsia="仿宋_GB2312"/>
                <w:kern w:val="0"/>
                <w:sz w:val="22"/>
                <w:szCs w:val="22"/>
              </w:rPr>
              <w:t>开展活动次数</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847E3">
            <w:pPr>
              <w:widowControl/>
              <w:adjustRightInd w:val="0"/>
              <w:snapToGrid w:val="0"/>
              <w:jc w:val="center"/>
              <w:textAlignment w:val="center"/>
              <w:rPr>
                <w:rFonts w:eastAsia="仿宋_GB2312"/>
                <w:kern w:val="0"/>
                <w:sz w:val="22"/>
                <w:szCs w:val="22"/>
              </w:rPr>
            </w:pPr>
            <w:r>
              <w:rPr>
                <w:rFonts w:eastAsia="仿宋_GB2312"/>
                <w:kern w:val="0"/>
                <w:sz w:val="22"/>
                <w:szCs w:val="22"/>
              </w:rPr>
              <w:t>≥4次</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A55293">
            <w:pPr>
              <w:widowControl/>
              <w:adjustRightInd w:val="0"/>
              <w:snapToGrid w:val="0"/>
              <w:jc w:val="center"/>
              <w:textAlignment w:val="center"/>
              <w:rPr>
                <w:rFonts w:eastAsia="仿宋_GB2312"/>
                <w:kern w:val="0"/>
                <w:sz w:val="22"/>
                <w:szCs w:val="22"/>
              </w:rPr>
            </w:pPr>
            <w:r>
              <w:rPr>
                <w:rFonts w:eastAsia="仿宋_GB2312"/>
                <w:kern w:val="0"/>
                <w:sz w:val="22"/>
                <w:szCs w:val="22"/>
              </w:rPr>
              <w:t>7次</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EDDC1">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1F7FC">
            <w:pPr>
              <w:widowControl/>
              <w:adjustRightInd w:val="0"/>
              <w:snapToGrid w:val="0"/>
              <w:jc w:val="center"/>
              <w:textAlignment w:val="center"/>
              <w:rPr>
                <w:rFonts w:eastAsia="仿宋_GB2312"/>
                <w:kern w:val="0"/>
                <w:sz w:val="22"/>
                <w:szCs w:val="22"/>
              </w:rPr>
            </w:pPr>
          </w:p>
        </w:tc>
      </w:tr>
      <w:bookmarkEnd w:id="132"/>
      <w:tr w14:paraId="0C566743">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ABD0A">
            <w:pPr>
              <w:widowControl/>
              <w:adjustRightInd w:val="0"/>
              <w:snapToGrid w:val="0"/>
              <w:jc w:val="center"/>
              <w:textAlignment w:val="center"/>
              <w:rPr>
                <w:rFonts w:eastAsia="仿宋_GB2312"/>
                <w:kern w:val="0"/>
                <w:sz w:val="22"/>
                <w:szCs w:val="22"/>
              </w:rPr>
            </w:pPr>
            <w:bookmarkStart w:id="135" w:name="OLE_LINK18" w:colFirst="1" w:colLast="1"/>
            <w:r>
              <w:rPr>
                <w:kern w:val="0"/>
                <w:sz w:val="22"/>
                <w:szCs w:val="22"/>
              </w:rPr>
              <w:t>8</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9B8BC">
            <w:pPr>
              <w:widowControl/>
              <w:adjustRightInd w:val="0"/>
              <w:snapToGrid w:val="0"/>
              <w:jc w:val="center"/>
              <w:textAlignment w:val="center"/>
              <w:rPr>
                <w:rFonts w:eastAsia="仿宋_GB2312"/>
                <w:kern w:val="0"/>
                <w:sz w:val="22"/>
                <w:szCs w:val="22"/>
              </w:rPr>
            </w:pPr>
            <w:r>
              <w:rPr>
                <w:rFonts w:eastAsia="仿宋_GB2312"/>
                <w:kern w:val="0"/>
                <w:sz w:val="22"/>
                <w:szCs w:val="22"/>
              </w:rPr>
              <w:t>经济运行工作经费</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43DA6">
            <w:pPr>
              <w:widowControl/>
              <w:adjustRightInd w:val="0"/>
              <w:snapToGrid w:val="0"/>
              <w:jc w:val="center"/>
              <w:textAlignment w:val="center"/>
              <w:rPr>
                <w:rFonts w:eastAsia="仿宋_GB2312"/>
                <w:kern w:val="0"/>
                <w:sz w:val="22"/>
                <w:szCs w:val="22"/>
              </w:rPr>
            </w:pPr>
            <w:r>
              <w:rPr>
                <w:rFonts w:eastAsia="仿宋_GB2312"/>
                <w:kern w:val="0"/>
                <w:sz w:val="22"/>
                <w:szCs w:val="22"/>
              </w:rPr>
              <w:t>新培育省级专精特新中小企业</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E238E6">
            <w:pPr>
              <w:widowControl/>
              <w:adjustRightInd w:val="0"/>
              <w:snapToGrid w:val="0"/>
              <w:jc w:val="center"/>
              <w:textAlignment w:val="center"/>
              <w:rPr>
                <w:rFonts w:eastAsia="仿宋_GB2312"/>
                <w:kern w:val="0"/>
                <w:sz w:val="22"/>
                <w:szCs w:val="22"/>
              </w:rPr>
            </w:pPr>
            <w:bookmarkStart w:id="136" w:name="OLE_LINK10"/>
            <w:r>
              <w:rPr>
                <w:rFonts w:eastAsia="仿宋_GB2312"/>
                <w:kern w:val="0"/>
                <w:sz w:val="22"/>
                <w:szCs w:val="22"/>
              </w:rPr>
              <w:t>≥3人/户</w:t>
            </w:r>
            <w:bookmarkEnd w:id="136"/>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CDABE1">
            <w:pPr>
              <w:widowControl/>
              <w:adjustRightInd w:val="0"/>
              <w:snapToGrid w:val="0"/>
              <w:jc w:val="center"/>
              <w:textAlignment w:val="center"/>
              <w:rPr>
                <w:rFonts w:eastAsia="仿宋_GB2312"/>
                <w:kern w:val="0"/>
                <w:sz w:val="22"/>
                <w:szCs w:val="22"/>
              </w:rPr>
            </w:pPr>
            <w:bookmarkStart w:id="137" w:name="OLE_LINK12"/>
            <w:r>
              <w:rPr>
                <w:rFonts w:eastAsia="仿宋_GB2312"/>
                <w:kern w:val="0"/>
                <w:sz w:val="22"/>
                <w:szCs w:val="22"/>
              </w:rPr>
              <w:t>4人/户</w:t>
            </w:r>
            <w:bookmarkEnd w:id="137"/>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6FCBA">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0FC2B">
            <w:pPr>
              <w:widowControl/>
              <w:adjustRightInd w:val="0"/>
              <w:snapToGrid w:val="0"/>
              <w:jc w:val="center"/>
              <w:textAlignment w:val="center"/>
              <w:rPr>
                <w:rFonts w:eastAsia="仿宋_GB2312"/>
                <w:kern w:val="0"/>
                <w:sz w:val="22"/>
                <w:szCs w:val="22"/>
              </w:rPr>
            </w:pPr>
          </w:p>
        </w:tc>
      </w:tr>
      <w:tr w14:paraId="747CD7EF">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5DA8E">
            <w:pPr>
              <w:widowControl/>
              <w:adjustRightInd w:val="0"/>
              <w:snapToGrid w:val="0"/>
              <w:jc w:val="center"/>
              <w:textAlignment w:val="center"/>
              <w:rPr>
                <w:kern w:val="0"/>
                <w:sz w:val="22"/>
                <w:szCs w:val="22"/>
              </w:rPr>
            </w:pPr>
            <w:r>
              <w:rPr>
                <w:kern w:val="0"/>
                <w:sz w:val="22"/>
                <w:szCs w:val="22"/>
              </w:rPr>
              <w:t>9</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529EA">
            <w:pPr>
              <w:widowControl/>
              <w:adjustRightInd w:val="0"/>
              <w:snapToGrid w:val="0"/>
              <w:jc w:val="center"/>
              <w:textAlignment w:val="center"/>
              <w:rPr>
                <w:rFonts w:eastAsia="仿宋_GB2312"/>
                <w:kern w:val="0"/>
                <w:sz w:val="22"/>
                <w:szCs w:val="22"/>
              </w:rPr>
            </w:pPr>
            <w:r>
              <w:rPr>
                <w:rFonts w:eastAsia="仿宋_GB2312"/>
                <w:kern w:val="0"/>
                <w:sz w:val="22"/>
                <w:szCs w:val="22"/>
              </w:rPr>
              <w:t>跨区域合作专项资金</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8AF8A">
            <w:pPr>
              <w:widowControl/>
              <w:adjustRightInd w:val="0"/>
              <w:snapToGrid w:val="0"/>
              <w:jc w:val="center"/>
              <w:textAlignment w:val="center"/>
              <w:rPr>
                <w:rFonts w:eastAsia="仿宋_GB2312"/>
                <w:kern w:val="0"/>
                <w:sz w:val="22"/>
                <w:szCs w:val="22"/>
              </w:rPr>
            </w:pPr>
            <w:r>
              <w:rPr>
                <w:rFonts w:eastAsia="仿宋_GB2312"/>
                <w:kern w:val="0"/>
                <w:sz w:val="22"/>
                <w:szCs w:val="22"/>
              </w:rPr>
              <w:t>招商引资信息3条</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BFC6A5">
            <w:pPr>
              <w:widowControl/>
              <w:adjustRightInd w:val="0"/>
              <w:snapToGrid w:val="0"/>
              <w:jc w:val="center"/>
              <w:textAlignment w:val="center"/>
              <w:rPr>
                <w:rFonts w:eastAsia="仿宋_GB2312"/>
                <w:kern w:val="0"/>
                <w:sz w:val="22"/>
                <w:szCs w:val="22"/>
              </w:rPr>
            </w:pPr>
            <w:r>
              <w:rPr>
                <w:rFonts w:eastAsia="仿宋_GB2312"/>
                <w:kern w:val="0"/>
                <w:sz w:val="22"/>
                <w:szCs w:val="22"/>
              </w:rPr>
              <w:t>≥3条</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357998">
            <w:pPr>
              <w:widowControl/>
              <w:adjustRightInd w:val="0"/>
              <w:snapToGrid w:val="0"/>
              <w:jc w:val="center"/>
              <w:textAlignment w:val="center"/>
              <w:rPr>
                <w:rFonts w:eastAsia="仿宋_GB2312"/>
                <w:kern w:val="0"/>
                <w:sz w:val="22"/>
                <w:szCs w:val="22"/>
              </w:rPr>
            </w:pPr>
            <w:r>
              <w:rPr>
                <w:rFonts w:eastAsia="仿宋_GB2312"/>
                <w:kern w:val="0"/>
                <w:sz w:val="22"/>
                <w:szCs w:val="22"/>
              </w:rPr>
              <w:t>3条</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90C60">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D3907">
            <w:pPr>
              <w:widowControl/>
              <w:adjustRightInd w:val="0"/>
              <w:snapToGrid w:val="0"/>
              <w:jc w:val="center"/>
              <w:textAlignment w:val="center"/>
              <w:rPr>
                <w:rFonts w:eastAsia="仿宋_GB2312"/>
                <w:kern w:val="0"/>
                <w:sz w:val="22"/>
                <w:szCs w:val="22"/>
              </w:rPr>
            </w:pPr>
          </w:p>
        </w:tc>
      </w:tr>
      <w:tr w14:paraId="1A183F0A">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2C87A">
            <w:pPr>
              <w:widowControl/>
              <w:adjustRightInd w:val="0"/>
              <w:snapToGrid w:val="0"/>
              <w:jc w:val="center"/>
              <w:textAlignment w:val="center"/>
              <w:rPr>
                <w:kern w:val="0"/>
                <w:sz w:val="22"/>
                <w:szCs w:val="22"/>
              </w:rPr>
            </w:pPr>
            <w:r>
              <w:rPr>
                <w:kern w:val="0"/>
                <w:sz w:val="22"/>
                <w:szCs w:val="22"/>
              </w:rPr>
              <w:t>10</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0195D">
            <w:pPr>
              <w:widowControl/>
              <w:adjustRightInd w:val="0"/>
              <w:snapToGrid w:val="0"/>
              <w:jc w:val="center"/>
              <w:textAlignment w:val="center"/>
              <w:rPr>
                <w:rFonts w:eastAsia="仿宋_GB2312"/>
                <w:kern w:val="0"/>
                <w:sz w:val="22"/>
                <w:szCs w:val="22"/>
              </w:rPr>
            </w:pPr>
            <w:r>
              <w:rPr>
                <w:rFonts w:eastAsia="仿宋_GB2312"/>
                <w:kern w:val="0"/>
                <w:sz w:val="22"/>
                <w:szCs w:val="22"/>
              </w:rPr>
              <w:t>3+3+3产业经费</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44813">
            <w:pPr>
              <w:widowControl/>
              <w:adjustRightInd w:val="0"/>
              <w:snapToGrid w:val="0"/>
              <w:jc w:val="center"/>
              <w:textAlignment w:val="center"/>
              <w:rPr>
                <w:rFonts w:eastAsia="仿宋_GB2312"/>
                <w:kern w:val="0"/>
                <w:sz w:val="22"/>
                <w:szCs w:val="22"/>
              </w:rPr>
            </w:pPr>
            <w:r>
              <w:rPr>
                <w:rFonts w:eastAsia="仿宋_GB2312"/>
                <w:kern w:val="0"/>
                <w:sz w:val="22"/>
                <w:szCs w:val="22"/>
              </w:rPr>
              <w:t>重点产业新培育规上工业企业</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6F8A62">
            <w:pPr>
              <w:widowControl/>
              <w:adjustRightInd w:val="0"/>
              <w:snapToGrid w:val="0"/>
              <w:jc w:val="center"/>
              <w:textAlignment w:val="center"/>
              <w:rPr>
                <w:rFonts w:eastAsia="仿宋_GB2312"/>
                <w:kern w:val="0"/>
                <w:sz w:val="22"/>
                <w:szCs w:val="22"/>
              </w:rPr>
            </w:pPr>
            <w:r>
              <w:rPr>
                <w:rFonts w:eastAsia="仿宋_GB2312"/>
                <w:kern w:val="0"/>
                <w:sz w:val="22"/>
                <w:szCs w:val="22"/>
              </w:rPr>
              <w:t>≥20人/户</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F10C2">
            <w:pPr>
              <w:widowControl/>
              <w:adjustRightInd w:val="0"/>
              <w:snapToGrid w:val="0"/>
              <w:jc w:val="center"/>
              <w:textAlignment w:val="center"/>
              <w:rPr>
                <w:rFonts w:eastAsia="仿宋_GB2312"/>
                <w:kern w:val="0"/>
                <w:sz w:val="22"/>
                <w:szCs w:val="22"/>
              </w:rPr>
            </w:pPr>
            <w:r>
              <w:rPr>
                <w:rFonts w:eastAsia="仿宋_GB2312"/>
                <w:kern w:val="0"/>
                <w:sz w:val="22"/>
                <w:szCs w:val="22"/>
              </w:rPr>
              <w:t>40人/户</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A1DCD">
            <w:pPr>
              <w:widowControl/>
              <w:adjustRightInd w:val="0"/>
              <w:snapToGrid w:val="0"/>
              <w:jc w:val="center"/>
              <w:textAlignment w:val="center"/>
              <w:rPr>
                <w:rFonts w:eastAsia="仿宋_GB2312"/>
                <w:kern w:val="0"/>
                <w:sz w:val="22"/>
                <w:szCs w:val="22"/>
              </w:rPr>
            </w:pPr>
            <w:r>
              <w:rPr>
                <w:rFonts w:eastAsia="仿宋_GB2312"/>
                <w:kern w:val="0"/>
                <w:sz w:val="22"/>
                <w:szCs w:val="22"/>
              </w:rPr>
              <w:t>完成</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CB953">
            <w:pPr>
              <w:widowControl/>
              <w:adjustRightInd w:val="0"/>
              <w:snapToGrid w:val="0"/>
              <w:jc w:val="center"/>
              <w:textAlignment w:val="center"/>
              <w:rPr>
                <w:rFonts w:eastAsia="仿宋_GB2312"/>
                <w:kern w:val="0"/>
                <w:sz w:val="22"/>
                <w:szCs w:val="22"/>
              </w:rPr>
            </w:pPr>
          </w:p>
        </w:tc>
      </w:tr>
      <w:tr w14:paraId="65EA016D">
        <w:tblPrEx>
          <w:tblCellMar>
            <w:top w:w="0" w:type="dxa"/>
            <w:left w:w="108" w:type="dxa"/>
            <w:bottom w:w="0" w:type="dxa"/>
            <w:right w:w="108" w:type="dxa"/>
          </w:tblCellMar>
        </w:tblPrEx>
        <w:trPr>
          <w:trHeight w:val="580" w:hRule="atLeast"/>
        </w:trPr>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8F97B">
            <w:pPr>
              <w:widowControl/>
              <w:adjustRightInd w:val="0"/>
              <w:snapToGrid w:val="0"/>
              <w:jc w:val="center"/>
              <w:textAlignment w:val="center"/>
              <w:rPr>
                <w:kern w:val="0"/>
                <w:sz w:val="22"/>
                <w:szCs w:val="22"/>
              </w:rPr>
            </w:pPr>
            <w:r>
              <w:rPr>
                <w:kern w:val="0"/>
                <w:sz w:val="22"/>
                <w:szCs w:val="22"/>
              </w:rPr>
              <w:t>11</w:t>
            </w:r>
          </w:p>
        </w:tc>
        <w:tc>
          <w:tcPr>
            <w:tcW w:w="222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2C348">
            <w:pPr>
              <w:widowControl/>
              <w:adjustRightInd w:val="0"/>
              <w:snapToGrid w:val="0"/>
              <w:jc w:val="center"/>
              <w:textAlignment w:val="center"/>
              <w:rPr>
                <w:rFonts w:eastAsia="仿宋_GB2312"/>
                <w:kern w:val="0"/>
                <w:sz w:val="22"/>
                <w:szCs w:val="22"/>
              </w:rPr>
            </w:pPr>
            <w:r>
              <w:rPr>
                <w:rFonts w:eastAsia="仿宋_GB2312"/>
                <w:kern w:val="0"/>
                <w:sz w:val="22"/>
                <w:szCs w:val="22"/>
              </w:rPr>
              <w:t>体制结算-无线电管理经费</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08A25">
            <w:pPr>
              <w:widowControl/>
              <w:adjustRightInd w:val="0"/>
              <w:snapToGrid w:val="0"/>
              <w:jc w:val="center"/>
              <w:textAlignment w:val="center"/>
              <w:rPr>
                <w:rFonts w:eastAsia="仿宋_GB2312"/>
                <w:kern w:val="0"/>
                <w:sz w:val="22"/>
                <w:szCs w:val="22"/>
              </w:rPr>
            </w:pPr>
            <w:r>
              <w:rPr>
                <w:rFonts w:eastAsia="仿宋_GB2312"/>
                <w:kern w:val="0"/>
                <w:sz w:val="22"/>
                <w:szCs w:val="22"/>
              </w:rPr>
              <w:t>开展重大活动无线电专项监管</w:t>
            </w:r>
          </w:p>
        </w:tc>
        <w:tc>
          <w:tcPr>
            <w:tcW w:w="9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7C87ED">
            <w:pPr>
              <w:widowControl/>
              <w:adjustRightInd w:val="0"/>
              <w:snapToGrid w:val="0"/>
              <w:jc w:val="center"/>
              <w:textAlignment w:val="center"/>
              <w:rPr>
                <w:rFonts w:eastAsia="仿宋_GB2312"/>
                <w:kern w:val="0"/>
                <w:sz w:val="22"/>
                <w:szCs w:val="22"/>
              </w:rPr>
            </w:pPr>
            <w:r>
              <w:rPr>
                <w:rFonts w:eastAsia="仿宋_GB2312"/>
                <w:kern w:val="0"/>
                <w:sz w:val="22"/>
                <w:szCs w:val="22"/>
              </w:rPr>
              <w:t>≥2次</w:t>
            </w:r>
          </w:p>
        </w:tc>
        <w:tc>
          <w:tcPr>
            <w:tcW w:w="13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04393F">
            <w:pPr>
              <w:widowControl/>
              <w:adjustRightInd w:val="0"/>
              <w:snapToGrid w:val="0"/>
              <w:jc w:val="center"/>
              <w:textAlignment w:val="center"/>
              <w:rPr>
                <w:rFonts w:eastAsia="仿宋_GB2312"/>
                <w:kern w:val="0"/>
                <w:sz w:val="22"/>
                <w:szCs w:val="22"/>
              </w:rPr>
            </w:pPr>
            <w:r>
              <w:rPr>
                <w:rFonts w:eastAsia="仿宋_GB2312"/>
                <w:kern w:val="0"/>
                <w:sz w:val="22"/>
                <w:szCs w:val="22"/>
              </w:rPr>
              <w:t>2次</w:t>
            </w:r>
          </w:p>
        </w:tc>
        <w:tc>
          <w:tcPr>
            <w:tcW w:w="9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9D684">
            <w:pPr>
              <w:widowControl/>
              <w:adjustRightInd w:val="0"/>
              <w:snapToGrid w:val="0"/>
              <w:jc w:val="center"/>
              <w:textAlignment w:val="center"/>
              <w:rPr>
                <w:rFonts w:eastAsia="仿宋_GB2312"/>
                <w:kern w:val="0"/>
                <w:sz w:val="22"/>
                <w:szCs w:val="22"/>
              </w:rPr>
            </w:pPr>
            <w:r>
              <w:rPr>
                <w:rFonts w:eastAsia="仿宋_GB2312"/>
                <w:kern w:val="0"/>
                <w:sz w:val="22"/>
                <w:szCs w:val="22"/>
              </w:rPr>
              <w:t>≥3</w:t>
            </w:r>
          </w:p>
        </w:tc>
        <w:tc>
          <w:tcPr>
            <w:tcW w:w="7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5553D">
            <w:pPr>
              <w:widowControl/>
              <w:adjustRightInd w:val="0"/>
              <w:snapToGrid w:val="0"/>
              <w:jc w:val="center"/>
              <w:textAlignment w:val="center"/>
              <w:rPr>
                <w:rFonts w:eastAsia="仿宋_GB2312"/>
                <w:kern w:val="0"/>
                <w:sz w:val="22"/>
                <w:szCs w:val="22"/>
              </w:rPr>
            </w:pPr>
          </w:p>
        </w:tc>
      </w:tr>
      <w:bookmarkEnd w:id="126"/>
      <w:bookmarkEnd w:id="127"/>
      <w:bookmarkEnd w:id="135"/>
    </w:tbl>
    <w:p w14:paraId="2635BF0A">
      <w:pPr>
        <w:spacing w:line="590" w:lineRule="exact"/>
        <w:ind w:firstLine="592" w:firstLineChars="200"/>
        <w:contextualSpacing/>
        <w:rPr>
          <w:rFonts w:eastAsia="仿宋_GB2312"/>
          <w:spacing w:val="8"/>
          <w:sz w:val="28"/>
          <w:szCs w:val="28"/>
        </w:rPr>
      </w:pPr>
      <w:r>
        <w:rPr>
          <w:rFonts w:eastAsia="仿宋_GB2312"/>
          <w:spacing w:val="8"/>
          <w:sz w:val="28"/>
          <w:szCs w:val="28"/>
        </w:rPr>
        <w:t>（2）目标偏离</w:t>
      </w:r>
    </w:p>
    <w:p w14:paraId="0768020C">
      <w:pPr>
        <w:spacing w:line="590" w:lineRule="exact"/>
        <w:ind w:firstLine="592" w:firstLineChars="200"/>
        <w:contextualSpacing/>
        <w:rPr>
          <w:rFonts w:eastAsia="仿宋_GB2312"/>
          <w:spacing w:val="8"/>
          <w:sz w:val="28"/>
          <w:szCs w:val="28"/>
        </w:rPr>
      </w:pPr>
      <w:r>
        <w:rPr>
          <w:rFonts w:eastAsia="仿宋_GB2312"/>
          <w:spacing w:val="8"/>
          <w:sz w:val="28"/>
          <w:szCs w:val="28"/>
        </w:rPr>
        <w:t>2024年，遂宁市经济和信息化局共有11条数量指标，其中11条数量指标偏离度≥0%。根据《部门整体支出绩效自评打分表》的评分说明本项指标权重6分，自评得分6分。</w:t>
      </w:r>
    </w:p>
    <w:p w14:paraId="473739C2">
      <w:pPr>
        <w:spacing w:line="590" w:lineRule="exact"/>
        <w:ind w:firstLine="592" w:firstLineChars="200"/>
        <w:contextualSpacing/>
        <w:rPr>
          <w:rFonts w:eastAsia="仿宋_GB2312"/>
          <w:spacing w:val="8"/>
          <w:sz w:val="28"/>
          <w:szCs w:val="28"/>
        </w:rPr>
      </w:pPr>
      <w:r>
        <w:rPr>
          <w:rFonts w:eastAsia="仿宋_GB2312"/>
          <w:spacing w:val="8"/>
          <w:sz w:val="28"/>
          <w:szCs w:val="28"/>
        </w:rPr>
        <w:t>（3）实现效果</w:t>
      </w:r>
    </w:p>
    <w:p w14:paraId="6FCC4613">
      <w:pPr>
        <w:spacing w:line="590" w:lineRule="exact"/>
        <w:ind w:firstLine="592" w:firstLineChars="200"/>
        <w:contextualSpacing/>
        <w:rPr>
          <w:rFonts w:eastAsia="仿宋_GB2312"/>
          <w:spacing w:val="8"/>
          <w:sz w:val="28"/>
          <w:szCs w:val="28"/>
        </w:rPr>
      </w:pPr>
      <w:r>
        <w:rPr>
          <w:rFonts w:eastAsia="仿宋_GB2312"/>
          <w:spacing w:val="8"/>
          <w:sz w:val="28"/>
          <w:szCs w:val="28"/>
          <w:lang w:val="zh-CN"/>
        </w:rPr>
        <w:t>202</w:t>
      </w:r>
      <w:r>
        <w:rPr>
          <w:rFonts w:eastAsia="仿宋_GB2312"/>
          <w:spacing w:val="8"/>
          <w:sz w:val="28"/>
          <w:szCs w:val="28"/>
        </w:rPr>
        <w:t>4</w:t>
      </w:r>
      <w:r>
        <w:rPr>
          <w:rFonts w:eastAsia="仿宋_GB2312"/>
          <w:spacing w:val="8"/>
          <w:sz w:val="28"/>
          <w:szCs w:val="28"/>
          <w:lang w:val="zh-CN"/>
        </w:rPr>
        <w:t>年</w:t>
      </w:r>
      <w:r>
        <w:rPr>
          <w:rFonts w:eastAsia="仿宋_GB2312"/>
          <w:spacing w:val="8"/>
          <w:sz w:val="28"/>
          <w:szCs w:val="28"/>
        </w:rPr>
        <w:t>本部门</w:t>
      </w:r>
      <w:r>
        <w:rPr>
          <w:rFonts w:eastAsia="仿宋_GB2312"/>
          <w:spacing w:val="8"/>
          <w:sz w:val="28"/>
          <w:szCs w:val="28"/>
          <w:lang w:val="zh-CN"/>
        </w:rPr>
        <w:t>共实施</w:t>
      </w:r>
      <w:r>
        <w:rPr>
          <w:rFonts w:eastAsia="仿宋_GB2312"/>
          <w:spacing w:val="8"/>
          <w:sz w:val="28"/>
          <w:szCs w:val="28"/>
        </w:rPr>
        <w:t>11</w:t>
      </w:r>
      <w:r>
        <w:rPr>
          <w:rFonts w:eastAsia="仿宋_GB2312"/>
          <w:spacing w:val="8"/>
          <w:sz w:val="28"/>
          <w:szCs w:val="28"/>
          <w:lang w:val="zh-CN"/>
        </w:rPr>
        <w:t>个项目，</w:t>
      </w:r>
      <w:r>
        <w:rPr>
          <w:rFonts w:eastAsia="仿宋_GB2312"/>
          <w:spacing w:val="8"/>
          <w:sz w:val="28"/>
          <w:szCs w:val="28"/>
        </w:rPr>
        <w:t>财务机构共抽查11个项目，11个项目共有11条</w:t>
      </w:r>
      <w:r>
        <w:rPr>
          <w:rFonts w:eastAsia="仿宋_GB2312"/>
          <w:spacing w:val="8"/>
          <w:sz w:val="28"/>
          <w:szCs w:val="28"/>
          <w:lang w:val="zh-CN"/>
        </w:rPr>
        <w:t>效益指标，经核查</w:t>
      </w:r>
      <w:r>
        <w:rPr>
          <w:rFonts w:eastAsia="仿宋_GB2312"/>
          <w:spacing w:val="8"/>
          <w:sz w:val="28"/>
          <w:szCs w:val="28"/>
        </w:rPr>
        <w:t>11</w:t>
      </w:r>
      <w:r>
        <w:rPr>
          <w:rFonts w:eastAsia="仿宋_GB2312"/>
          <w:spacing w:val="8"/>
          <w:sz w:val="28"/>
          <w:szCs w:val="28"/>
          <w:lang w:val="zh-CN"/>
        </w:rPr>
        <w:t>条效益指标完成。</w:t>
      </w:r>
      <w:r>
        <w:rPr>
          <w:rFonts w:eastAsia="仿宋_GB2312"/>
          <w:spacing w:val="8"/>
          <w:sz w:val="28"/>
          <w:szCs w:val="28"/>
        </w:rPr>
        <w:t>各类项目均实现其效果。根据《部门整体支出绩效自评打分表》的评分说明本项指标权重5分、得分5分。</w:t>
      </w:r>
    </w:p>
    <w:tbl>
      <w:tblPr>
        <w:tblStyle w:val="19"/>
        <w:tblW w:w="8935" w:type="dxa"/>
        <w:tblInd w:w="93" w:type="dxa"/>
        <w:tblLayout w:type="fixed"/>
        <w:tblCellMar>
          <w:top w:w="0" w:type="dxa"/>
          <w:left w:w="108" w:type="dxa"/>
          <w:bottom w:w="0" w:type="dxa"/>
          <w:right w:w="108" w:type="dxa"/>
        </w:tblCellMar>
      </w:tblPr>
      <w:tblGrid>
        <w:gridCol w:w="790"/>
        <w:gridCol w:w="2301"/>
        <w:gridCol w:w="1689"/>
        <w:gridCol w:w="1230"/>
        <w:gridCol w:w="1050"/>
        <w:gridCol w:w="1170"/>
        <w:gridCol w:w="705"/>
      </w:tblGrid>
      <w:tr w14:paraId="08F65BCC">
        <w:tblPrEx>
          <w:tblCellMar>
            <w:top w:w="0" w:type="dxa"/>
            <w:left w:w="108" w:type="dxa"/>
            <w:bottom w:w="0" w:type="dxa"/>
            <w:right w:w="108" w:type="dxa"/>
          </w:tblCellMar>
        </w:tblPrEx>
        <w:trPr>
          <w:trHeight w:val="5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5C9D">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序号</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A34">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项目名称</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5700">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21A">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目标值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163B">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完成值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34F">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是否完成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EF52">
            <w:pPr>
              <w:pStyle w:val="42"/>
              <w:adjustRightInd w:val="0"/>
              <w:snapToGrid w:val="0"/>
              <w:spacing w:line="240" w:lineRule="auto"/>
              <w:rPr>
                <w:rFonts w:eastAsia="黑体" w:cs="Times New Roman"/>
                <w:color w:val="auto"/>
                <w:sz w:val="21"/>
                <w:szCs w:val="21"/>
                <w:lang w:val="en-US"/>
              </w:rPr>
            </w:pPr>
            <w:r>
              <w:rPr>
                <w:rFonts w:eastAsia="黑体" w:cs="Times New Roman"/>
                <w:color w:val="auto"/>
                <w:sz w:val="21"/>
                <w:szCs w:val="21"/>
                <w:lang w:val="en-US"/>
              </w:rPr>
              <w:t>备注</w:t>
            </w:r>
          </w:p>
        </w:tc>
      </w:tr>
      <w:tr w14:paraId="243F301E">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7A0E">
            <w:pPr>
              <w:widowControl/>
              <w:adjustRightInd w:val="0"/>
              <w:snapToGrid w:val="0"/>
              <w:jc w:val="center"/>
              <w:textAlignment w:val="center"/>
              <w:rPr>
                <w:rFonts w:eastAsia="仿宋_GB2312"/>
                <w:kern w:val="0"/>
                <w:sz w:val="22"/>
                <w:szCs w:val="22"/>
              </w:rPr>
            </w:pPr>
            <w:r>
              <w:rPr>
                <w:rFonts w:eastAsia="仿宋_GB2312"/>
                <w:kern w:val="0"/>
                <w:sz w:val="22"/>
                <w:szCs w:val="22"/>
              </w:rPr>
              <w:t>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BC53">
            <w:pPr>
              <w:widowControl/>
              <w:adjustRightInd w:val="0"/>
              <w:snapToGrid w:val="0"/>
              <w:jc w:val="center"/>
              <w:textAlignment w:val="center"/>
              <w:rPr>
                <w:rFonts w:eastAsia="仿宋_GB2312"/>
                <w:kern w:val="0"/>
                <w:sz w:val="22"/>
                <w:szCs w:val="22"/>
              </w:rPr>
            </w:pPr>
            <w:r>
              <w:rPr>
                <w:rFonts w:eastAsia="仿宋_GB2312"/>
                <w:kern w:val="0"/>
                <w:sz w:val="22"/>
                <w:szCs w:val="22"/>
              </w:rPr>
              <w:t>民营经济和中小企业工作经费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EA5F">
            <w:pPr>
              <w:widowControl/>
              <w:adjustRightInd w:val="0"/>
              <w:snapToGrid w:val="0"/>
              <w:jc w:val="center"/>
              <w:textAlignment w:val="center"/>
              <w:rPr>
                <w:rFonts w:eastAsia="仿宋_GB2312"/>
                <w:kern w:val="0"/>
                <w:sz w:val="22"/>
                <w:szCs w:val="22"/>
              </w:rPr>
            </w:pPr>
            <w:r>
              <w:rPr>
                <w:rFonts w:eastAsia="仿宋_GB2312"/>
                <w:kern w:val="0"/>
                <w:sz w:val="22"/>
                <w:szCs w:val="22"/>
              </w:rPr>
              <w:t>民营经济增加值占GDP比重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5C02">
            <w:pPr>
              <w:widowControl/>
              <w:adjustRightInd w:val="0"/>
              <w:snapToGrid w:val="0"/>
              <w:jc w:val="center"/>
              <w:textAlignment w:val="center"/>
              <w:rPr>
                <w:rFonts w:eastAsia="仿宋_GB2312"/>
                <w:kern w:val="0"/>
                <w:sz w:val="22"/>
                <w:szCs w:val="22"/>
              </w:rPr>
            </w:pPr>
            <w:bookmarkStart w:id="138" w:name="OLE_LINK24"/>
            <w:r>
              <w:rPr>
                <w:rFonts w:ascii="宋体"/>
                <w:kern w:val="0"/>
                <w:sz w:val="22"/>
                <w:szCs w:val="22"/>
              </w:rPr>
              <w:t>≦</w:t>
            </w:r>
            <w:r>
              <w:rPr>
                <w:rFonts w:eastAsia="仿宋_GB2312"/>
                <w:kern w:val="0"/>
                <w:sz w:val="22"/>
                <w:szCs w:val="22"/>
              </w:rPr>
              <w:t>55%</w:t>
            </w:r>
            <w:bookmarkEnd w:id="138"/>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7DC">
            <w:pPr>
              <w:widowControl/>
              <w:adjustRightInd w:val="0"/>
              <w:snapToGrid w:val="0"/>
              <w:jc w:val="center"/>
              <w:textAlignment w:val="center"/>
              <w:rPr>
                <w:rFonts w:eastAsia="仿宋_GB2312"/>
                <w:kern w:val="0"/>
                <w:sz w:val="22"/>
                <w:szCs w:val="22"/>
              </w:rPr>
            </w:pPr>
            <w:r>
              <w:rPr>
                <w:rFonts w:eastAsia="仿宋_GB2312"/>
                <w:kern w:val="0"/>
                <w:sz w:val="22"/>
                <w:szCs w:val="22"/>
              </w:rPr>
              <w:t>65%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B0C5">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C5E">
            <w:pPr>
              <w:widowControl/>
              <w:adjustRightInd w:val="0"/>
              <w:snapToGrid w:val="0"/>
              <w:jc w:val="center"/>
              <w:textAlignment w:val="center"/>
              <w:rPr>
                <w:rFonts w:eastAsia="仿宋_GB2312"/>
                <w:kern w:val="0"/>
                <w:sz w:val="22"/>
                <w:szCs w:val="22"/>
              </w:rPr>
            </w:pPr>
          </w:p>
        </w:tc>
      </w:tr>
      <w:tr w14:paraId="798220C8">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18E2">
            <w:pPr>
              <w:widowControl/>
              <w:adjustRightInd w:val="0"/>
              <w:snapToGrid w:val="0"/>
              <w:jc w:val="center"/>
              <w:textAlignment w:val="center"/>
              <w:rPr>
                <w:rFonts w:eastAsia="仿宋_GB2312"/>
                <w:kern w:val="0"/>
                <w:sz w:val="22"/>
                <w:szCs w:val="22"/>
              </w:rPr>
            </w:pPr>
            <w:r>
              <w:rPr>
                <w:rFonts w:eastAsia="仿宋_GB2312"/>
                <w:kern w:val="0"/>
                <w:sz w:val="22"/>
                <w:szCs w:val="22"/>
              </w:rPr>
              <w:t>2</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F33E">
            <w:pPr>
              <w:widowControl/>
              <w:adjustRightInd w:val="0"/>
              <w:snapToGrid w:val="0"/>
              <w:jc w:val="center"/>
              <w:textAlignment w:val="center"/>
              <w:rPr>
                <w:rFonts w:eastAsia="仿宋_GB2312"/>
                <w:kern w:val="0"/>
                <w:sz w:val="22"/>
                <w:szCs w:val="22"/>
              </w:rPr>
            </w:pPr>
            <w:r>
              <w:rPr>
                <w:rFonts w:eastAsia="仿宋_GB2312"/>
                <w:kern w:val="0"/>
                <w:sz w:val="22"/>
                <w:szCs w:val="22"/>
              </w:rPr>
              <w:t>人才发展专项资金</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A21A">
            <w:pPr>
              <w:widowControl/>
              <w:adjustRightInd w:val="0"/>
              <w:snapToGrid w:val="0"/>
              <w:jc w:val="center"/>
              <w:textAlignment w:val="center"/>
              <w:rPr>
                <w:rFonts w:eastAsia="仿宋_GB2312"/>
                <w:kern w:val="0"/>
                <w:sz w:val="22"/>
                <w:szCs w:val="22"/>
              </w:rPr>
            </w:pPr>
            <w:r>
              <w:rPr>
                <w:rFonts w:eastAsia="仿宋_GB2312"/>
                <w:kern w:val="0"/>
                <w:sz w:val="22"/>
                <w:szCs w:val="22"/>
              </w:rPr>
              <w:t>提升企业家经营管理能力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8523">
            <w:pPr>
              <w:widowControl/>
              <w:adjustRightInd w:val="0"/>
              <w:snapToGrid w:val="0"/>
              <w:jc w:val="center"/>
              <w:textAlignment w:val="center"/>
              <w:rPr>
                <w:rFonts w:eastAsia="仿宋_GB2312"/>
                <w:kern w:val="0"/>
                <w:sz w:val="22"/>
                <w:szCs w:val="22"/>
              </w:rPr>
            </w:pPr>
            <w:r>
              <w:rPr>
                <w:rFonts w:ascii="宋体"/>
                <w:kern w:val="0"/>
                <w:sz w:val="22"/>
                <w:szCs w:val="22"/>
              </w:rPr>
              <w:t>≦</w:t>
            </w:r>
            <w:r>
              <w:rPr>
                <w:rFonts w:eastAsia="仿宋_GB2312"/>
                <w:kern w:val="0"/>
                <w:sz w:val="22"/>
                <w:szCs w:val="22"/>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97B5">
            <w:pPr>
              <w:widowControl/>
              <w:adjustRightInd w:val="0"/>
              <w:snapToGrid w:val="0"/>
              <w:jc w:val="center"/>
              <w:textAlignment w:val="center"/>
              <w:rPr>
                <w:rFonts w:eastAsia="仿宋_GB2312"/>
                <w:kern w:val="0"/>
                <w:sz w:val="22"/>
                <w:szCs w:val="22"/>
              </w:rPr>
            </w:pPr>
            <w:r>
              <w:rPr>
                <w:rFonts w:eastAsia="仿宋_GB2312"/>
                <w:kern w:val="0"/>
                <w:sz w:val="22"/>
                <w:szCs w:val="22"/>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C256">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79D3">
            <w:pPr>
              <w:widowControl/>
              <w:adjustRightInd w:val="0"/>
              <w:snapToGrid w:val="0"/>
              <w:jc w:val="center"/>
              <w:textAlignment w:val="center"/>
              <w:rPr>
                <w:rFonts w:eastAsia="仿宋_GB2312"/>
                <w:kern w:val="0"/>
                <w:sz w:val="22"/>
                <w:szCs w:val="22"/>
              </w:rPr>
            </w:pPr>
          </w:p>
        </w:tc>
      </w:tr>
      <w:tr w14:paraId="2B895A35">
        <w:tblPrEx>
          <w:tblCellMar>
            <w:top w:w="0" w:type="dxa"/>
            <w:left w:w="108" w:type="dxa"/>
            <w:bottom w:w="0" w:type="dxa"/>
            <w:right w:w="108" w:type="dxa"/>
          </w:tblCellMar>
        </w:tblPrEx>
        <w:trPr>
          <w:trHeight w:val="93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6D55">
            <w:pPr>
              <w:widowControl/>
              <w:adjustRightInd w:val="0"/>
              <w:snapToGrid w:val="0"/>
              <w:jc w:val="center"/>
              <w:textAlignment w:val="center"/>
              <w:rPr>
                <w:rFonts w:eastAsia="仿宋_GB2312"/>
                <w:kern w:val="0"/>
                <w:sz w:val="22"/>
                <w:szCs w:val="22"/>
              </w:rPr>
            </w:pPr>
            <w:r>
              <w:rPr>
                <w:rFonts w:eastAsia="仿宋_GB2312"/>
                <w:kern w:val="0"/>
                <w:sz w:val="22"/>
                <w:szCs w:val="22"/>
              </w:rPr>
              <w:t>3</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F67">
            <w:pPr>
              <w:widowControl/>
              <w:adjustRightInd w:val="0"/>
              <w:snapToGrid w:val="0"/>
              <w:jc w:val="center"/>
              <w:textAlignment w:val="center"/>
              <w:rPr>
                <w:rFonts w:eastAsia="仿宋_GB2312"/>
                <w:kern w:val="0"/>
                <w:sz w:val="22"/>
                <w:szCs w:val="22"/>
              </w:rPr>
            </w:pPr>
            <w:r>
              <w:rPr>
                <w:rFonts w:eastAsia="仿宋_GB2312"/>
                <w:kern w:val="0"/>
                <w:sz w:val="22"/>
                <w:szCs w:val="22"/>
              </w:rPr>
              <w:t>化工园区扩区调整个人记功嘉奖奖金经费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DBDF">
            <w:pPr>
              <w:widowControl/>
              <w:adjustRightInd w:val="0"/>
              <w:snapToGrid w:val="0"/>
              <w:jc w:val="center"/>
              <w:textAlignment w:val="center"/>
              <w:rPr>
                <w:rFonts w:eastAsia="仿宋_GB2312"/>
                <w:kern w:val="0"/>
                <w:sz w:val="22"/>
                <w:szCs w:val="22"/>
              </w:rPr>
            </w:pPr>
            <w:r>
              <w:rPr>
                <w:rFonts w:eastAsia="仿宋_GB2312"/>
                <w:kern w:val="0"/>
                <w:sz w:val="22"/>
                <w:szCs w:val="22"/>
              </w:rPr>
              <w:t>鼓励全市上下为推动我市加快建设成渝中部现代化建设示范市和锂电之都贡献更大力量。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76D">
            <w:pPr>
              <w:widowControl/>
              <w:adjustRightInd w:val="0"/>
              <w:snapToGrid w:val="0"/>
              <w:jc w:val="center"/>
              <w:textAlignment w:val="center"/>
              <w:rPr>
                <w:rFonts w:eastAsia="仿宋_GB2312"/>
                <w:kern w:val="0"/>
                <w:sz w:val="22"/>
                <w:szCs w:val="22"/>
              </w:rPr>
            </w:pPr>
            <w:r>
              <w:rPr>
                <w:rFonts w:eastAsia="仿宋_GB2312"/>
                <w:kern w:val="0"/>
                <w:sz w:val="22"/>
                <w:szCs w:val="22"/>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776C">
            <w:pPr>
              <w:widowControl/>
              <w:adjustRightInd w:val="0"/>
              <w:snapToGrid w:val="0"/>
              <w:jc w:val="center"/>
              <w:textAlignment w:val="center"/>
              <w:rPr>
                <w:rFonts w:eastAsia="仿宋_GB2312"/>
                <w:kern w:val="0"/>
                <w:sz w:val="22"/>
                <w:szCs w:val="22"/>
              </w:rPr>
            </w:pPr>
            <w:r>
              <w:rPr>
                <w:rFonts w:eastAsia="仿宋_GB2312"/>
                <w:kern w:val="0"/>
                <w:sz w:val="22"/>
                <w:szCs w:val="22"/>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AF6">
            <w:pPr>
              <w:widowControl/>
              <w:adjustRightInd w:val="0"/>
              <w:snapToGrid w:val="0"/>
              <w:jc w:val="center"/>
              <w:textAlignment w:val="center"/>
              <w:rPr>
                <w:rFonts w:eastAsia="仿宋_GB2312"/>
                <w:kern w:val="0"/>
                <w:sz w:val="22"/>
                <w:szCs w:val="22"/>
              </w:rPr>
            </w:pPr>
            <w:bookmarkStart w:id="139" w:name="OLE_LINK31"/>
            <w:r>
              <w:rPr>
                <w:rFonts w:eastAsia="仿宋_GB2312"/>
                <w:kern w:val="0"/>
                <w:sz w:val="22"/>
                <w:szCs w:val="22"/>
              </w:rPr>
              <w:t>是</w:t>
            </w:r>
            <w:bookmarkEnd w:id="139"/>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F95D">
            <w:pPr>
              <w:widowControl/>
              <w:adjustRightInd w:val="0"/>
              <w:snapToGrid w:val="0"/>
              <w:jc w:val="center"/>
              <w:textAlignment w:val="center"/>
              <w:rPr>
                <w:rFonts w:eastAsia="仿宋_GB2312"/>
                <w:kern w:val="0"/>
                <w:sz w:val="22"/>
                <w:szCs w:val="22"/>
              </w:rPr>
            </w:pPr>
          </w:p>
        </w:tc>
      </w:tr>
      <w:tr w14:paraId="3F00842A">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730A">
            <w:pPr>
              <w:widowControl/>
              <w:adjustRightInd w:val="0"/>
              <w:snapToGrid w:val="0"/>
              <w:jc w:val="center"/>
              <w:textAlignment w:val="center"/>
              <w:rPr>
                <w:rFonts w:eastAsia="仿宋_GB2312"/>
                <w:kern w:val="0"/>
                <w:sz w:val="22"/>
                <w:szCs w:val="22"/>
              </w:rPr>
            </w:pPr>
            <w:r>
              <w:rPr>
                <w:rFonts w:eastAsia="仿宋_GB2312"/>
                <w:kern w:val="0"/>
                <w:sz w:val="22"/>
                <w:szCs w:val="22"/>
              </w:rPr>
              <w:t>4</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50DB">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省级工业发展资金（工业和信息化助推乡村振兴  )</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D143">
            <w:pPr>
              <w:widowControl/>
              <w:adjustRightInd w:val="0"/>
              <w:snapToGrid w:val="0"/>
              <w:jc w:val="center"/>
              <w:textAlignment w:val="center"/>
              <w:rPr>
                <w:rFonts w:eastAsia="仿宋_GB2312"/>
                <w:kern w:val="0"/>
                <w:sz w:val="22"/>
                <w:szCs w:val="22"/>
              </w:rPr>
            </w:pPr>
            <w:r>
              <w:rPr>
                <w:rFonts w:eastAsia="仿宋_GB2312"/>
                <w:kern w:val="0"/>
                <w:sz w:val="22"/>
                <w:szCs w:val="22"/>
              </w:rPr>
              <w:t>食品饮料产业增加值增速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0708">
            <w:pPr>
              <w:widowControl/>
              <w:adjustRightInd w:val="0"/>
              <w:snapToGrid w:val="0"/>
              <w:jc w:val="center"/>
              <w:textAlignment w:val="center"/>
              <w:rPr>
                <w:rFonts w:eastAsia="仿宋_GB2312"/>
                <w:kern w:val="0"/>
                <w:sz w:val="22"/>
                <w:szCs w:val="22"/>
              </w:rPr>
            </w:pPr>
            <w:bookmarkStart w:id="140" w:name="OLE_LINK25"/>
            <w:r>
              <w:rPr>
                <w:rFonts w:eastAsia="仿宋_GB2312"/>
                <w:kern w:val="0"/>
                <w:sz w:val="22"/>
                <w:szCs w:val="22"/>
              </w:rPr>
              <w:t>≥</w:t>
            </w:r>
            <w:bookmarkEnd w:id="140"/>
            <w:r>
              <w:rPr>
                <w:rFonts w:eastAsia="仿宋_GB2312"/>
                <w:kern w:val="0"/>
                <w:sz w:val="22"/>
                <w:szCs w:val="22"/>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DA1D">
            <w:pPr>
              <w:widowControl/>
              <w:adjustRightInd w:val="0"/>
              <w:snapToGrid w:val="0"/>
              <w:jc w:val="center"/>
              <w:textAlignment w:val="center"/>
              <w:rPr>
                <w:rFonts w:eastAsia="仿宋_GB2312"/>
                <w:kern w:val="0"/>
                <w:sz w:val="22"/>
                <w:szCs w:val="22"/>
              </w:rPr>
            </w:pPr>
            <w:r>
              <w:rPr>
                <w:rFonts w:eastAsia="仿宋_GB2312"/>
                <w:kern w:val="0"/>
                <w:sz w:val="22"/>
                <w:szCs w:val="22"/>
              </w:rPr>
              <w:t>6.5%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E1F5">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3103">
            <w:pPr>
              <w:widowControl/>
              <w:adjustRightInd w:val="0"/>
              <w:snapToGrid w:val="0"/>
              <w:jc w:val="center"/>
              <w:textAlignment w:val="center"/>
              <w:rPr>
                <w:rFonts w:eastAsia="仿宋_GB2312"/>
                <w:kern w:val="0"/>
                <w:sz w:val="22"/>
                <w:szCs w:val="22"/>
              </w:rPr>
            </w:pPr>
          </w:p>
        </w:tc>
      </w:tr>
      <w:tr w14:paraId="06F12F49">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9B81">
            <w:pPr>
              <w:widowControl/>
              <w:adjustRightInd w:val="0"/>
              <w:snapToGrid w:val="0"/>
              <w:jc w:val="center"/>
              <w:textAlignment w:val="center"/>
              <w:rPr>
                <w:rFonts w:eastAsia="仿宋_GB2312"/>
                <w:kern w:val="0"/>
                <w:sz w:val="22"/>
                <w:szCs w:val="22"/>
              </w:rPr>
            </w:pPr>
            <w:r>
              <w:rPr>
                <w:rFonts w:eastAsia="仿宋_GB2312"/>
                <w:kern w:val="0"/>
                <w:sz w:val="22"/>
                <w:szCs w:val="22"/>
              </w:rPr>
              <w:t>5</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C686">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2023年第二批省级资金市场开拓   )</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7D1">
            <w:pPr>
              <w:widowControl/>
              <w:adjustRightInd w:val="0"/>
              <w:snapToGrid w:val="0"/>
              <w:jc w:val="center"/>
              <w:textAlignment w:val="center"/>
              <w:rPr>
                <w:rFonts w:eastAsia="仿宋_GB2312"/>
                <w:kern w:val="0"/>
                <w:sz w:val="22"/>
                <w:szCs w:val="22"/>
              </w:rPr>
            </w:pPr>
            <w:r>
              <w:rPr>
                <w:rFonts w:eastAsia="仿宋_GB2312"/>
                <w:kern w:val="0"/>
                <w:sz w:val="22"/>
                <w:szCs w:val="22"/>
              </w:rPr>
              <w:t>帮助企业新增订单额度（500万元）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DAF9">
            <w:pPr>
              <w:widowControl/>
              <w:adjustRightInd w:val="0"/>
              <w:snapToGrid w:val="0"/>
              <w:jc w:val="center"/>
              <w:textAlignment w:val="center"/>
              <w:rPr>
                <w:rFonts w:eastAsia="仿宋_GB2312"/>
                <w:kern w:val="0"/>
                <w:sz w:val="22"/>
                <w:szCs w:val="22"/>
              </w:rPr>
            </w:pPr>
            <w:bookmarkStart w:id="141" w:name="OLE_LINK26"/>
            <w:r>
              <w:rPr>
                <w:rFonts w:eastAsia="仿宋_GB2312"/>
                <w:kern w:val="0"/>
                <w:sz w:val="22"/>
                <w:szCs w:val="22"/>
              </w:rPr>
              <w:t>≥500万元</w:t>
            </w:r>
            <w:bookmarkEnd w:id="141"/>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B018">
            <w:pPr>
              <w:widowControl/>
              <w:adjustRightInd w:val="0"/>
              <w:snapToGrid w:val="0"/>
              <w:jc w:val="center"/>
              <w:textAlignment w:val="center"/>
              <w:rPr>
                <w:rFonts w:eastAsia="仿宋_GB2312"/>
                <w:kern w:val="0"/>
                <w:sz w:val="22"/>
                <w:szCs w:val="22"/>
              </w:rPr>
            </w:pPr>
            <w:r>
              <w:rPr>
                <w:rFonts w:eastAsia="仿宋_GB2312"/>
                <w:kern w:val="0"/>
                <w:sz w:val="22"/>
                <w:szCs w:val="22"/>
              </w:rPr>
              <w:t>500万元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E83C">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C8A7">
            <w:pPr>
              <w:widowControl/>
              <w:adjustRightInd w:val="0"/>
              <w:snapToGrid w:val="0"/>
              <w:jc w:val="center"/>
              <w:textAlignment w:val="center"/>
              <w:rPr>
                <w:rFonts w:eastAsia="仿宋_GB2312"/>
                <w:kern w:val="0"/>
                <w:sz w:val="22"/>
                <w:szCs w:val="22"/>
              </w:rPr>
            </w:pPr>
          </w:p>
        </w:tc>
      </w:tr>
      <w:tr w14:paraId="3E8C7A03">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DBF7">
            <w:pPr>
              <w:widowControl/>
              <w:adjustRightInd w:val="0"/>
              <w:snapToGrid w:val="0"/>
              <w:jc w:val="center"/>
              <w:textAlignment w:val="center"/>
              <w:rPr>
                <w:rFonts w:eastAsia="仿宋_GB2312"/>
                <w:kern w:val="0"/>
                <w:sz w:val="22"/>
                <w:szCs w:val="22"/>
              </w:rPr>
            </w:pPr>
            <w:r>
              <w:rPr>
                <w:rFonts w:eastAsia="仿宋_GB2312"/>
                <w:kern w:val="0"/>
                <w:sz w:val="22"/>
                <w:szCs w:val="22"/>
              </w:rPr>
              <w:t>6</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5638">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2023年结转技改前期经费  )</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646D">
            <w:pPr>
              <w:widowControl/>
              <w:adjustRightInd w:val="0"/>
              <w:snapToGrid w:val="0"/>
              <w:jc w:val="center"/>
              <w:textAlignment w:val="center"/>
              <w:rPr>
                <w:rFonts w:eastAsia="仿宋_GB2312"/>
                <w:kern w:val="0"/>
                <w:sz w:val="22"/>
                <w:szCs w:val="22"/>
              </w:rPr>
            </w:pPr>
            <w:r>
              <w:rPr>
                <w:rFonts w:eastAsia="仿宋_GB2312"/>
                <w:kern w:val="0"/>
                <w:sz w:val="22"/>
                <w:szCs w:val="22"/>
              </w:rPr>
              <w:t>资金争取额度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B6BE">
            <w:pPr>
              <w:widowControl/>
              <w:adjustRightInd w:val="0"/>
              <w:snapToGrid w:val="0"/>
              <w:jc w:val="center"/>
              <w:textAlignment w:val="center"/>
              <w:rPr>
                <w:rFonts w:eastAsia="仿宋_GB2312"/>
                <w:kern w:val="0"/>
                <w:sz w:val="22"/>
                <w:szCs w:val="22"/>
              </w:rPr>
            </w:pPr>
            <w:r>
              <w:rPr>
                <w:rFonts w:eastAsia="仿宋_GB2312"/>
                <w:kern w:val="0"/>
                <w:sz w:val="22"/>
                <w:szCs w:val="22"/>
              </w:rPr>
              <w:t>≥3582万元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50D">
            <w:pPr>
              <w:widowControl/>
              <w:adjustRightInd w:val="0"/>
              <w:snapToGrid w:val="0"/>
              <w:jc w:val="center"/>
              <w:textAlignment w:val="center"/>
              <w:rPr>
                <w:rFonts w:eastAsia="仿宋_GB2312"/>
                <w:kern w:val="0"/>
                <w:sz w:val="22"/>
                <w:szCs w:val="22"/>
              </w:rPr>
            </w:pPr>
            <w:r>
              <w:rPr>
                <w:rFonts w:eastAsia="仿宋_GB2312"/>
                <w:kern w:val="0"/>
                <w:sz w:val="22"/>
                <w:szCs w:val="22"/>
              </w:rPr>
              <w:t>7917万元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E9A4">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36D7">
            <w:pPr>
              <w:widowControl/>
              <w:adjustRightInd w:val="0"/>
              <w:snapToGrid w:val="0"/>
              <w:jc w:val="center"/>
              <w:textAlignment w:val="center"/>
              <w:rPr>
                <w:rFonts w:eastAsia="仿宋_GB2312"/>
                <w:kern w:val="0"/>
                <w:sz w:val="22"/>
                <w:szCs w:val="22"/>
              </w:rPr>
            </w:pPr>
          </w:p>
        </w:tc>
      </w:tr>
      <w:tr w14:paraId="6CCF55DC">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7717">
            <w:pPr>
              <w:widowControl/>
              <w:adjustRightInd w:val="0"/>
              <w:snapToGrid w:val="0"/>
              <w:jc w:val="center"/>
              <w:textAlignment w:val="center"/>
              <w:rPr>
                <w:rFonts w:eastAsia="仿宋_GB2312"/>
                <w:kern w:val="0"/>
                <w:sz w:val="22"/>
                <w:szCs w:val="22"/>
              </w:rPr>
            </w:pPr>
            <w:r>
              <w:rPr>
                <w:rFonts w:eastAsia="仿宋_GB2312"/>
                <w:kern w:val="0"/>
                <w:sz w:val="22"/>
                <w:szCs w:val="22"/>
              </w:rPr>
              <w:t>7</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58B9">
            <w:pPr>
              <w:widowControl/>
              <w:adjustRightInd w:val="0"/>
              <w:snapToGrid w:val="0"/>
              <w:jc w:val="center"/>
              <w:textAlignment w:val="center"/>
              <w:rPr>
                <w:rFonts w:eastAsia="仿宋_GB2312"/>
                <w:kern w:val="0"/>
                <w:sz w:val="22"/>
                <w:szCs w:val="22"/>
              </w:rPr>
            </w:pPr>
            <w:r>
              <w:rPr>
                <w:rFonts w:eastAsia="仿宋_GB2312"/>
                <w:kern w:val="0"/>
                <w:sz w:val="22"/>
                <w:szCs w:val="22"/>
              </w:rPr>
              <w:t>省级工业发展资金（  2023年第二批省级工业发展专项资金（戴帽部分）市场开拓  )</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1BBF">
            <w:pPr>
              <w:widowControl/>
              <w:adjustRightInd w:val="0"/>
              <w:snapToGrid w:val="0"/>
              <w:jc w:val="center"/>
              <w:textAlignment w:val="center"/>
              <w:rPr>
                <w:rFonts w:eastAsia="仿宋_GB2312"/>
                <w:kern w:val="0"/>
                <w:sz w:val="22"/>
                <w:szCs w:val="22"/>
              </w:rPr>
            </w:pPr>
            <w:r>
              <w:rPr>
                <w:rFonts w:eastAsia="仿宋_GB2312"/>
                <w:kern w:val="0"/>
                <w:sz w:val="22"/>
                <w:szCs w:val="22"/>
              </w:rPr>
              <w:t>工业增加值增速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1F54">
            <w:pPr>
              <w:widowControl/>
              <w:adjustRightInd w:val="0"/>
              <w:snapToGrid w:val="0"/>
              <w:jc w:val="center"/>
              <w:textAlignment w:val="center"/>
              <w:rPr>
                <w:rFonts w:eastAsia="仿宋_GB2312"/>
                <w:kern w:val="0"/>
                <w:sz w:val="22"/>
                <w:szCs w:val="22"/>
              </w:rPr>
            </w:pPr>
            <w:r>
              <w:rPr>
                <w:rFonts w:eastAsia="仿宋_GB2312"/>
                <w:kern w:val="0"/>
                <w:sz w:val="22"/>
                <w:szCs w:val="22"/>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1ECA">
            <w:pPr>
              <w:widowControl/>
              <w:adjustRightInd w:val="0"/>
              <w:snapToGrid w:val="0"/>
              <w:jc w:val="center"/>
              <w:textAlignment w:val="center"/>
              <w:rPr>
                <w:rFonts w:eastAsia="仿宋_GB2312"/>
                <w:kern w:val="0"/>
                <w:sz w:val="22"/>
                <w:szCs w:val="22"/>
              </w:rPr>
            </w:pPr>
            <w:r>
              <w:rPr>
                <w:rFonts w:eastAsia="仿宋_GB2312"/>
                <w:kern w:val="0"/>
                <w:sz w:val="22"/>
                <w:szCs w:val="22"/>
              </w:rPr>
              <w:t>9.2%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A1C0">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A233">
            <w:pPr>
              <w:widowControl/>
              <w:adjustRightInd w:val="0"/>
              <w:snapToGrid w:val="0"/>
              <w:jc w:val="center"/>
              <w:textAlignment w:val="center"/>
              <w:rPr>
                <w:rFonts w:eastAsia="仿宋_GB2312"/>
                <w:kern w:val="0"/>
                <w:sz w:val="22"/>
                <w:szCs w:val="22"/>
              </w:rPr>
            </w:pPr>
          </w:p>
        </w:tc>
      </w:tr>
      <w:tr w14:paraId="19FE09F9">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8C4E">
            <w:pPr>
              <w:widowControl/>
              <w:adjustRightInd w:val="0"/>
              <w:snapToGrid w:val="0"/>
              <w:jc w:val="center"/>
              <w:textAlignment w:val="center"/>
              <w:rPr>
                <w:rFonts w:eastAsia="仿宋_GB2312"/>
                <w:kern w:val="0"/>
                <w:sz w:val="22"/>
                <w:szCs w:val="22"/>
              </w:rPr>
            </w:pPr>
            <w:bookmarkStart w:id="142" w:name="OLE_LINK27" w:colFirst="3" w:colLast="4"/>
            <w:r>
              <w:rPr>
                <w:rFonts w:eastAsia="仿宋_GB2312"/>
                <w:kern w:val="0"/>
                <w:sz w:val="22"/>
                <w:szCs w:val="22"/>
              </w:rPr>
              <w:t>8</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647B">
            <w:pPr>
              <w:widowControl/>
              <w:adjustRightInd w:val="0"/>
              <w:snapToGrid w:val="0"/>
              <w:jc w:val="center"/>
              <w:textAlignment w:val="center"/>
              <w:rPr>
                <w:rFonts w:eastAsia="仿宋_GB2312"/>
                <w:kern w:val="0"/>
                <w:sz w:val="22"/>
                <w:szCs w:val="22"/>
              </w:rPr>
            </w:pPr>
            <w:r>
              <w:rPr>
                <w:rFonts w:eastAsia="仿宋_GB2312"/>
                <w:kern w:val="0"/>
                <w:sz w:val="22"/>
                <w:szCs w:val="22"/>
              </w:rPr>
              <w:t>经济运行工作经费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AB7">
            <w:pPr>
              <w:widowControl/>
              <w:adjustRightInd w:val="0"/>
              <w:snapToGrid w:val="0"/>
              <w:jc w:val="center"/>
              <w:textAlignment w:val="center"/>
              <w:rPr>
                <w:rFonts w:eastAsia="仿宋_GB2312"/>
                <w:kern w:val="0"/>
                <w:sz w:val="22"/>
                <w:szCs w:val="22"/>
              </w:rPr>
            </w:pPr>
            <w:r>
              <w:rPr>
                <w:rFonts w:eastAsia="仿宋_GB2312"/>
                <w:kern w:val="0"/>
                <w:sz w:val="22"/>
                <w:szCs w:val="22"/>
              </w:rPr>
              <w:t>全市规模以上工业增加</w:t>
            </w:r>
            <w:r>
              <w:rPr>
                <w:rFonts w:hint="eastAsia" w:eastAsia="仿宋_GB2312"/>
                <w:kern w:val="0"/>
                <w:sz w:val="22"/>
                <w:szCs w:val="22"/>
                <w:lang w:val="en-US" w:eastAsia="zh-CN"/>
              </w:rPr>
              <w:t>值</w:t>
            </w:r>
            <w:r>
              <w:rPr>
                <w:rFonts w:eastAsia="仿宋_GB2312"/>
                <w:kern w:val="0"/>
                <w:sz w:val="22"/>
                <w:szCs w:val="22"/>
              </w:rPr>
              <w:t>增速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83B8">
            <w:pPr>
              <w:widowControl/>
              <w:adjustRightInd w:val="0"/>
              <w:snapToGrid w:val="0"/>
              <w:jc w:val="center"/>
              <w:textAlignment w:val="center"/>
              <w:rPr>
                <w:rFonts w:eastAsia="仿宋_GB2312"/>
                <w:kern w:val="0"/>
                <w:sz w:val="22"/>
                <w:szCs w:val="22"/>
              </w:rPr>
            </w:pPr>
            <w:r>
              <w:rPr>
                <w:rFonts w:eastAsia="仿宋_GB2312"/>
                <w:kern w:val="0"/>
                <w:sz w:val="22"/>
                <w:szCs w:val="22"/>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509">
            <w:pPr>
              <w:widowControl/>
              <w:adjustRightInd w:val="0"/>
              <w:snapToGrid w:val="0"/>
              <w:jc w:val="center"/>
              <w:textAlignment w:val="center"/>
              <w:rPr>
                <w:rFonts w:eastAsia="仿宋_GB2312"/>
                <w:kern w:val="0"/>
                <w:sz w:val="22"/>
                <w:szCs w:val="22"/>
              </w:rPr>
            </w:pPr>
            <w:r>
              <w:rPr>
                <w:rFonts w:eastAsia="仿宋_GB2312"/>
                <w:kern w:val="0"/>
                <w:sz w:val="22"/>
                <w:szCs w:val="22"/>
              </w:rPr>
              <w:t>9.2%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705">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01D7">
            <w:pPr>
              <w:widowControl/>
              <w:adjustRightInd w:val="0"/>
              <w:snapToGrid w:val="0"/>
              <w:jc w:val="center"/>
              <w:textAlignment w:val="center"/>
              <w:rPr>
                <w:rFonts w:eastAsia="仿宋_GB2312"/>
                <w:kern w:val="0"/>
                <w:sz w:val="22"/>
                <w:szCs w:val="22"/>
              </w:rPr>
            </w:pPr>
          </w:p>
        </w:tc>
      </w:tr>
      <w:bookmarkEnd w:id="142"/>
      <w:tr w14:paraId="7298C4A3">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4A0B">
            <w:pPr>
              <w:widowControl/>
              <w:adjustRightInd w:val="0"/>
              <w:snapToGrid w:val="0"/>
              <w:jc w:val="center"/>
              <w:textAlignment w:val="center"/>
              <w:rPr>
                <w:rFonts w:eastAsia="仿宋_GB2312"/>
                <w:kern w:val="0"/>
                <w:sz w:val="22"/>
                <w:szCs w:val="22"/>
              </w:rPr>
            </w:pPr>
            <w:bookmarkStart w:id="143" w:name="OLE_LINK29" w:colFirst="3" w:colLast="4"/>
            <w:r>
              <w:rPr>
                <w:rFonts w:eastAsia="仿宋_GB2312"/>
                <w:kern w:val="0"/>
                <w:sz w:val="22"/>
                <w:szCs w:val="22"/>
              </w:rPr>
              <w:t>9</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572A">
            <w:pPr>
              <w:widowControl/>
              <w:adjustRightInd w:val="0"/>
              <w:snapToGrid w:val="0"/>
              <w:jc w:val="center"/>
              <w:textAlignment w:val="center"/>
              <w:rPr>
                <w:rFonts w:eastAsia="仿宋_GB2312"/>
                <w:kern w:val="0"/>
                <w:sz w:val="22"/>
                <w:szCs w:val="22"/>
              </w:rPr>
            </w:pPr>
            <w:r>
              <w:rPr>
                <w:rFonts w:eastAsia="仿宋_GB2312"/>
                <w:kern w:val="0"/>
                <w:sz w:val="22"/>
                <w:szCs w:val="22"/>
              </w:rPr>
              <w:t>跨区域合作专项资金</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48D4">
            <w:pPr>
              <w:widowControl/>
              <w:adjustRightInd w:val="0"/>
              <w:snapToGrid w:val="0"/>
              <w:jc w:val="center"/>
              <w:textAlignment w:val="center"/>
              <w:rPr>
                <w:rFonts w:eastAsia="仿宋_GB2312"/>
                <w:kern w:val="0"/>
                <w:sz w:val="22"/>
                <w:szCs w:val="22"/>
              </w:rPr>
            </w:pPr>
            <w:r>
              <w:rPr>
                <w:rFonts w:eastAsia="仿宋_GB2312"/>
                <w:kern w:val="0"/>
                <w:sz w:val="22"/>
                <w:szCs w:val="22"/>
              </w:rPr>
              <w:t>全年引进投资1亿元以上工业企业户数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450">
            <w:pPr>
              <w:widowControl/>
              <w:adjustRightInd w:val="0"/>
              <w:snapToGrid w:val="0"/>
              <w:jc w:val="center"/>
              <w:textAlignment w:val="center"/>
              <w:rPr>
                <w:rFonts w:eastAsia="仿宋_GB2312"/>
                <w:kern w:val="0"/>
                <w:sz w:val="22"/>
                <w:szCs w:val="22"/>
              </w:rPr>
            </w:pPr>
            <w:r>
              <w:rPr>
                <w:rFonts w:eastAsia="仿宋_GB2312"/>
                <w:kern w:val="0"/>
                <w:sz w:val="22"/>
                <w:szCs w:val="22"/>
              </w:rPr>
              <w:t>≥3户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E89C">
            <w:pPr>
              <w:widowControl/>
              <w:adjustRightInd w:val="0"/>
              <w:snapToGrid w:val="0"/>
              <w:jc w:val="center"/>
              <w:textAlignment w:val="center"/>
              <w:rPr>
                <w:rFonts w:eastAsia="仿宋_GB2312"/>
                <w:kern w:val="0"/>
                <w:sz w:val="22"/>
                <w:szCs w:val="22"/>
              </w:rPr>
            </w:pPr>
            <w:r>
              <w:rPr>
                <w:rFonts w:eastAsia="仿宋_GB2312"/>
                <w:kern w:val="0"/>
                <w:sz w:val="22"/>
                <w:szCs w:val="22"/>
              </w:rPr>
              <w:t>3户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76DF">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D9F9">
            <w:pPr>
              <w:widowControl/>
              <w:adjustRightInd w:val="0"/>
              <w:snapToGrid w:val="0"/>
              <w:jc w:val="center"/>
              <w:textAlignment w:val="center"/>
              <w:rPr>
                <w:rFonts w:eastAsia="仿宋_GB2312"/>
                <w:kern w:val="0"/>
                <w:sz w:val="22"/>
                <w:szCs w:val="22"/>
              </w:rPr>
            </w:pPr>
          </w:p>
        </w:tc>
      </w:tr>
      <w:bookmarkEnd w:id="143"/>
      <w:tr w14:paraId="68B4258B">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025C">
            <w:pPr>
              <w:widowControl/>
              <w:adjustRightInd w:val="0"/>
              <w:snapToGrid w:val="0"/>
              <w:jc w:val="center"/>
              <w:textAlignment w:val="center"/>
              <w:rPr>
                <w:rFonts w:eastAsia="仿宋_GB2312"/>
                <w:kern w:val="0"/>
                <w:sz w:val="22"/>
                <w:szCs w:val="22"/>
              </w:rPr>
            </w:pPr>
            <w:r>
              <w:rPr>
                <w:rFonts w:eastAsia="仿宋_GB2312"/>
                <w:kern w:val="0"/>
                <w:sz w:val="22"/>
                <w:szCs w:val="22"/>
              </w:rPr>
              <w:t>10</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638">
            <w:pPr>
              <w:widowControl/>
              <w:adjustRightInd w:val="0"/>
              <w:snapToGrid w:val="0"/>
              <w:jc w:val="center"/>
              <w:textAlignment w:val="center"/>
              <w:rPr>
                <w:rFonts w:eastAsia="仿宋_GB2312"/>
                <w:kern w:val="0"/>
                <w:sz w:val="22"/>
                <w:szCs w:val="22"/>
              </w:rPr>
            </w:pPr>
            <w:r>
              <w:rPr>
                <w:rFonts w:eastAsia="仿宋_GB2312"/>
                <w:kern w:val="0"/>
                <w:sz w:val="22"/>
                <w:szCs w:val="22"/>
              </w:rPr>
              <w:t>3+3+3产业经费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A61">
            <w:pPr>
              <w:widowControl/>
              <w:adjustRightInd w:val="0"/>
              <w:snapToGrid w:val="0"/>
              <w:jc w:val="center"/>
              <w:textAlignment w:val="center"/>
              <w:rPr>
                <w:rFonts w:eastAsia="仿宋_GB2312"/>
                <w:kern w:val="0"/>
                <w:sz w:val="22"/>
                <w:szCs w:val="22"/>
              </w:rPr>
            </w:pPr>
            <w:r>
              <w:rPr>
                <w:rFonts w:eastAsia="仿宋_GB2312"/>
                <w:kern w:val="0"/>
                <w:sz w:val="22"/>
                <w:szCs w:val="22"/>
              </w:rPr>
              <w:t>锂电、能源化工、电子信息三大重点产业增加值增速</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16EA">
            <w:pPr>
              <w:widowControl/>
              <w:adjustRightInd w:val="0"/>
              <w:snapToGrid w:val="0"/>
              <w:jc w:val="center"/>
              <w:textAlignment w:val="center"/>
              <w:rPr>
                <w:rFonts w:eastAsia="仿宋_GB2312"/>
                <w:kern w:val="0"/>
                <w:sz w:val="22"/>
                <w:szCs w:val="22"/>
              </w:rPr>
            </w:pPr>
            <w:bookmarkStart w:id="144" w:name="OLE_LINK28"/>
            <w:r>
              <w:rPr>
                <w:rFonts w:eastAsia="仿宋_GB2312"/>
                <w:kern w:val="0"/>
                <w:sz w:val="22"/>
                <w:szCs w:val="22"/>
              </w:rPr>
              <w:t>≥</w:t>
            </w:r>
            <w:bookmarkEnd w:id="144"/>
            <w:r>
              <w:rPr>
                <w:rFonts w:eastAsia="仿宋_GB2312"/>
                <w:kern w:val="0"/>
                <w:sz w:val="22"/>
                <w:szCs w:val="22"/>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5773">
            <w:pPr>
              <w:widowControl/>
              <w:adjustRightInd w:val="0"/>
              <w:snapToGrid w:val="0"/>
              <w:jc w:val="center"/>
              <w:textAlignment w:val="center"/>
              <w:rPr>
                <w:rFonts w:eastAsia="仿宋_GB2312"/>
                <w:kern w:val="0"/>
                <w:sz w:val="22"/>
                <w:szCs w:val="22"/>
              </w:rPr>
            </w:pPr>
            <w:r>
              <w:rPr>
                <w:rFonts w:eastAsia="仿宋_GB2312"/>
                <w:kern w:val="0"/>
                <w:sz w:val="22"/>
                <w:szCs w:val="22"/>
              </w:rPr>
              <w:t>12.3%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711E">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1F09">
            <w:pPr>
              <w:widowControl/>
              <w:adjustRightInd w:val="0"/>
              <w:snapToGrid w:val="0"/>
              <w:jc w:val="center"/>
              <w:textAlignment w:val="center"/>
              <w:rPr>
                <w:rFonts w:eastAsia="仿宋_GB2312"/>
                <w:kern w:val="0"/>
                <w:sz w:val="22"/>
                <w:szCs w:val="22"/>
              </w:rPr>
            </w:pPr>
          </w:p>
        </w:tc>
      </w:tr>
      <w:tr w14:paraId="1ABC7714">
        <w:tblPrEx>
          <w:tblCellMar>
            <w:top w:w="0" w:type="dxa"/>
            <w:left w:w="108" w:type="dxa"/>
            <w:bottom w:w="0" w:type="dxa"/>
            <w:right w:w="108" w:type="dxa"/>
          </w:tblCellMar>
        </w:tblPrEx>
        <w:trPr>
          <w:trHeight w:val="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AB9A">
            <w:pPr>
              <w:widowControl/>
              <w:adjustRightInd w:val="0"/>
              <w:snapToGrid w:val="0"/>
              <w:jc w:val="center"/>
              <w:textAlignment w:val="center"/>
              <w:rPr>
                <w:rFonts w:eastAsia="仿宋_GB2312"/>
                <w:kern w:val="0"/>
                <w:sz w:val="22"/>
                <w:szCs w:val="22"/>
              </w:rPr>
            </w:pPr>
            <w:r>
              <w:rPr>
                <w:rFonts w:eastAsia="仿宋_GB2312"/>
                <w:kern w:val="0"/>
                <w:sz w:val="22"/>
                <w:szCs w:val="22"/>
              </w:rPr>
              <w:t>11</w:t>
            </w:r>
          </w:p>
        </w:tc>
        <w:tc>
          <w:tcPr>
            <w:tcW w:w="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7F0F">
            <w:pPr>
              <w:widowControl/>
              <w:adjustRightInd w:val="0"/>
              <w:snapToGrid w:val="0"/>
              <w:jc w:val="center"/>
              <w:textAlignment w:val="center"/>
              <w:rPr>
                <w:rFonts w:eastAsia="仿宋_GB2312"/>
                <w:kern w:val="0"/>
                <w:sz w:val="22"/>
                <w:szCs w:val="22"/>
              </w:rPr>
            </w:pPr>
            <w:r>
              <w:rPr>
                <w:rFonts w:eastAsia="仿宋_GB2312"/>
                <w:kern w:val="0"/>
                <w:sz w:val="22"/>
                <w:szCs w:val="22"/>
              </w:rPr>
              <w:t>体制结算-无线电管理经费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63C5">
            <w:pPr>
              <w:widowControl/>
              <w:adjustRightInd w:val="0"/>
              <w:snapToGrid w:val="0"/>
              <w:jc w:val="center"/>
              <w:textAlignment w:val="center"/>
              <w:rPr>
                <w:rFonts w:eastAsia="仿宋_GB2312"/>
                <w:kern w:val="0"/>
                <w:sz w:val="22"/>
                <w:szCs w:val="22"/>
              </w:rPr>
            </w:pPr>
            <w:r>
              <w:rPr>
                <w:rFonts w:eastAsia="仿宋_GB2312"/>
                <w:kern w:val="0"/>
                <w:sz w:val="22"/>
                <w:szCs w:val="22"/>
              </w:rPr>
              <w:t>频占费资金征收规模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E355">
            <w:pPr>
              <w:widowControl/>
              <w:adjustRightInd w:val="0"/>
              <w:snapToGrid w:val="0"/>
              <w:jc w:val="center"/>
              <w:textAlignment w:val="center"/>
              <w:rPr>
                <w:rFonts w:eastAsia="仿宋_GB2312"/>
                <w:kern w:val="0"/>
                <w:sz w:val="22"/>
                <w:szCs w:val="22"/>
              </w:rPr>
            </w:pPr>
            <w:r>
              <w:rPr>
                <w:rFonts w:eastAsia="仿宋_GB2312"/>
                <w:kern w:val="0"/>
                <w:sz w:val="22"/>
                <w:szCs w:val="22"/>
              </w:rPr>
              <w:t>≥</w:t>
            </w:r>
            <w:bookmarkStart w:id="145" w:name="OLE_LINK30"/>
            <w:r>
              <w:rPr>
                <w:rFonts w:eastAsia="仿宋_GB2312"/>
                <w:kern w:val="0"/>
                <w:sz w:val="22"/>
                <w:szCs w:val="22"/>
              </w:rPr>
              <w:t>1万元</w:t>
            </w:r>
            <w:bookmarkEnd w:id="145"/>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6B6C">
            <w:pPr>
              <w:widowControl/>
              <w:adjustRightInd w:val="0"/>
              <w:snapToGrid w:val="0"/>
              <w:jc w:val="center"/>
              <w:textAlignment w:val="center"/>
              <w:rPr>
                <w:rFonts w:eastAsia="仿宋_GB2312"/>
                <w:kern w:val="0"/>
                <w:sz w:val="22"/>
                <w:szCs w:val="22"/>
              </w:rPr>
            </w:pPr>
            <w:r>
              <w:rPr>
                <w:rFonts w:eastAsia="仿宋_GB2312"/>
                <w:kern w:val="0"/>
                <w:sz w:val="22"/>
                <w:szCs w:val="22"/>
              </w:rPr>
              <w:t>2.88万元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0AA4">
            <w:pPr>
              <w:widowControl/>
              <w:adjustRightInd w:val="0"/>
              <w:snapToGrid w:val="0"/>
              <w:jc w:val="center"/>
              <w:textAlignment w:val="center"/>
              <w:rPr>
                <w:rFonts w:eastAsia="仿宋_GB2312"/>
                <w:kern w:val="0"/>
                <w:sz w:val="22"/>
                <w:szCs w:val="22"/>
              </w:rPr>
            </w:pPr>
            <w:r>
              <w:rPr>
                <w:rFonts w:eastAsia="仿宋_GB2312"/>
                <w:kern w:val="0"/>
                <w:sz w:val="22"/>
                <w:szCs w:val="22"/>
              </w:rPr>
              <w:t>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9260">
            <w:pPr>
              <w:widowControl/>
              <w:adjustRightInd w:val="0"/>
              <w:snapToGrid w:val="0"/>
              <w:jc w:val="center"/>
              <w:textAlignment w:val="center"/>
              <w:rPr>
                <w:rFonts w:eastAsia="仿宋_GB2312"/>
                <w:kern w:val="0"/>
                <w:sz w:val="22"/>
                <w:szCs w:val="22"/>
              </w:rPr>
            </w:pPr>
          </w:p>
        </w:tc>
      </w:tr>
      <w:bookmarkEnd w:id="125"/>
    </w:tbl>
    <w:p w14:paraId="10E0EDCF">
      <w:pPr>
        <w:spacing w:line="560" w:lineRule="exact"/>
        <w:ind w:firstLine="562" w:firstLineChars="200"/>
        <w:rPr>
          <w:rFonts w:eastAsia="楷体_GB2312"/>
          <w:b/>
          <w:bCs/>
          <w:color w:val="000000"/>
          <w:kern w:val="0"/>
          <w:sz w:val="28"/>
          <w:szCs w:val="28"/>
          <w:shd w:val="clear" w:color="auto" w:fill="FFFFFF"/>
          <w:lang w:val="zh-CN"/>
        </w:rPr>
      </w:pPr>
      <w:r>
        <w:rPr>
          <w:rFonts w:eastAsia="楷体_GB2312"/>
          <w:b/>
          <w:bCs/>
          <w:color w:val="000000"/>
          <w:kern w:val="0"/>
          <w:sz w:val="28"/>
          <w:szCs w:val="28"/>
          <w:shd w:val="clear" w:color="auto" w:fill="FFFFFF"/>
          <w:lang w:val="zh-CN"/>
        </w:rPr>
        <w:t>（三）重点领域绩效分析。</w:t>
      </w:r>
    </w:p>
    <w:p w14:paraId="7017BE04">
      <w:pPr>
        <w:spacing w:line="560" w:lineRule="exact"/>
        <w:ind w:firstLine="560" w:firstLineChars="200"/>
        <w:rPr>
          <w:rFonts w:eastAsia="仿宋_GB2312"/>
          <w:color w:val="000000"/>
          <w:kern w:val="0"/>
          <w:sz w:val="28"/>
          <w:szCs w:val="28"/>
          <w:highlight w:val="yellow"/>
          <w:shd w:val="clear" w:color="auto" w:fill="FFFFFF"/>
        </w:rPr>
      </w:pPr>
      <w:r>
        <w:rPr>
          <w:rFonts w:eastAsia="仿宋_GB2312"/>
          <w:sz w:val="28"/>
          <w:szCs w:val="28"/>
        </w:rPr>
        <w:t>2024年，我局完成采购合同备案24份，均为框架协议采购，其中车辆加油服务合同3份、总金额5万元，空调采购合同1份、总金额0.56万元，车辆保险服务2份、总金额0.65万元，车辆维修、保养服务18份、总金额2.91万元。</w:t>
      </w:r>
    </w:p>
    <w:p w14:paraId="67F954A5">
      <w:pPr>
        <w:adjustRightInd w:val="0"/>
        <w:spacing w:beforeLines="50" w:afterLines="50" w:line="560" w:lineRule="exact"/>
        <w:ind w:firstLine="562" w:firstLineChars="200"/>
        <w:contextualSpacing/>
        <w:jc w:val="left"/>
        <w:rPr>
          <w:rFonts w:eastAsia="仿宋_GB2312"/>
          <w:b/>
          <w:bCs/>
          <w:sz w:val="28"/>
          <w:szCs w:val="28"/>
          <w:lang w:val="zh-CN"/>
        </w:rPr>
      </w:pPr>
      <w:r>
        <w:rPr>
          <w:rFonts w:eastAsia="楷体_GB2312"/>
          <w:b/>
          <w:bCs/>
          <w:sz w:val="28"/>
          <w:szCs w:val="28"/>
          <w:lang w:val="zh-CN"/>
        </w:rPr>
        <w:t>（四）绩效结果应用情况。</w:t>
      </w:r>
    </w:p>
    <w:p w14:paraId="65CB9530">
      <w:pPr>
        <w:spacing w:line="560" w:lineRule="exact"/>
        <w:ind w:firstLine="560" w:firstLineChars="200"/>
        <w:rPr>
          <w:rFonts w:eastAsia="仿宋_GB2312"/>
          <w:sz w:val="28"/>
          <w:szCs w:val="28"/>
        </w:rPr>
      </w:pPr>
      <w:r>
        <w:rPr>
          <w:rFonts w:eastAsia="仿宋_GB2312"/>
          <w:sz w:val="28"/>
          <w:szCs w:val="28"/>
        </w:rPr>
        <w:t>1.内部应用</w:t>
      </w:r>
    </w:p>
    <w:p w14:paraId="542E92C6">
      <w:pPr>
        <w:spacing w:line="560" w:lineRule="exact"/>
        <w:ind w:firstLine="560" w:firstLineChars="200"/>
        <w:rPr>
          <w:rFonts w:eastAsia="仿宋_GB2312"/>
          <w:sz w:val="28"/>
          <w:szCs w:val="28"/>
        </w:rPr>
      </w:pPr>
      <w:r>
        <w:rPr>
          <w:rFonts w:eastAsia="仿宋_GB2312"/>
          <w:sz w:val="28"/>
          <w:szCs w:val="28"/>
        </w:rPr>
        <w:t>我单位绩效自评纳入考核体系，部门预算项目与绩效挂钩。</w:t>
      </w:r>
    </w:p>
    <w:p w14:paraId="27C362E1">
      <w:pPr>
        <w:spacing w:line="590" w:lineRule="exact"/>
        <w:ind w:firstLine="560" w:firstLineChars="200"/>
        <w:rPr>
          <w:rFonts w:eastAsia="仿宋_GB2312"/>
          <w:sz w:val="28"/>
          <w:szCs w:val="28"/>
        </w:rPr>
      </w:pPr>
      <w:r>
        <w:rPr>
          <w:rFonts w:eastAsia="仿宋_GB2312"/>
          <w:sz w:val="28"/>
          <w:szCs w:val="28"/>
        </w:rPr>
        <w:t>2.自评公开</w:t>
      </w:r>
    </w:p>
    <w:p w14:paraId="643FE494">
      <w:pPr>
        <w:spacing w:line="590" w:lineRule="exact"/>
        <w:ind w:firstLine="560" w:firstLineChars="200"/>
        <w:rPr>
          <w:rFonts w:eastAsia="仿宋_GB2312"/>
          <w:sz w:val="28"/>
          <w:szCs w:val="28"/>
        </w:rPr>
      </w:pPr>
      <w:r>
        <w:rPr>
          <w:rFonts w:eastAsia="仿宋_GB2312"/>
          <w:sz w:val="28"/>
          <w:szCs w:val="28"/>
        </w:rPr>
        <w:t>我单位严格按照预决算编制要求编制绩效目标，填列绩效目标完成情况，开展绩效自评工作，并按要求将相关绩效信息随部门预决算一并在政府网站和单位门户网站公开。</w:t>
      </w:r>
    </w:p>
    <w:p w14:paraId="2642B11B">
      <w:pPr>
        <w:spacing w:line="590" w:lineRule="exact"/>
        <w:ind w:firstLine="560" w:firstLineChars="200"/>
        <w:rPr>
          <w:rFonts w:eastAsia="仿宋_GB2312"/>
          <w:sz w:val="28"/>
          <w:szCs w:val="28"/>
        </w:rPr>
      </w:pPr>
      <w:r>
        <w:rPr>
          <w:rFonts w:eastAsia="仿宋_GB2312"/>
          <w:sz w:val="28"/>
          <w:szCs w:val="28"/>
        </w:rPr>
        <w:t>3.整改反馈</w:t>
      </w:r>
    </w:p>
    <w:p w14:paraId="19426D74">
      <w:pPr>
        <w:spacing w:line="590" w:lineRule="exact"/>
        <w:ind w:firstLine="560" w:firstLineChars="200"/>
        <w:rPr>
          <w:rFonts w:eastAsia="仿宋_GB2312"/>
          <w:sz w:val="28"/>
          <w:szCs w:val="28"/>
        </w:rPr>
      </w:pPr>
      <w:r>
        <w:rPr>
          <w:rFonts w:eastAsia="仿宋_GB2312"/>
          <w:sz w:val="28"/>
          <w:szCs w:val="28"/>
        </w:rPr>
        <w:t>及时监控全年预算执行进度，针对未达序时进度的项目反馈原因及整改措施。</w:t>
      </w:r>
    </w:p>
    <w:p w14:paraId="58048E3D">
      <w:pPr>
        <w:spacing w:line="590" w:lineRule="exact"/>
        <w:ind w:firstLine="560" w:firstLineChars="200"/>
        <w:rPr>
          <w:rFonts w:eastAsia="仿宋_GB2312"/>
          <w:sz w:val="28"/>
          <w:szCs w:val="28"/>
        </w:rPr>
      </w:pPr>
      <w:r>
        <w:rPr>
          <w:rFonts w:eastAsia="仿宋_GB2312"/>
          <w:sz w:val="28"/>
          <w:szCs w:val="28"/>
        </w:rPr>
        <w:t>4.应用反馈情况</w:t>
      </w:r>
    </w:p>
    <w:p w14:paraId="4716EED9">
      <w:pPr>
        <w:spacing w:line="590" w:lineRule="exact"/>
        <w:ind w:firstLine="560" w:firstLineChars="200"/>
        <w:rPr>
          <w:rFonts w:eastAsia="仿宋_GB2312"/>
          <w:b/>
          <w:sz w:val="28"/>
          <w:szCs w:val="28"/>
        </w:rPr>
      </w:pPr>
      <w:r>
        <w:rPr>
          <w:rFonts w:eastAsia="仿宋_GB2312"/>
          <w:sz w:val="28"/>
          <w:szCs w:val="28"/>
        </w:rPr>
        <w:t>积极组织开展2024年度部门整体支出绩效评价工作，按规定向财政部门反馈绩效自评报告。</w:t>
      </w:r>
    </w:p>
    <w:p w14:paraId="7E2C2578">
      <w:pPr>
        <w:widowControl/>
        <w:spacing w:line="590"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29D84795">
      <w:pPr>
        <w:adjustRightInd w:val="0"/>
        <w:snapToGrid w:val="0"/>
        <w:spacing w:line="620" w:lineRule="exact"/>
        <w:ind w:firstLine="562" w:firstLineChars="200"/>
        <w:contextualSpacing/>
        <w:jc w:val="left"/>
        <w:rPr>
          <w:rFonts w:eastAsia="仿宋_GB2312"/>
          <w:sz w:val="28"/>
          <w:szCs w:val="28"/>
          <w:lang w:val="zh-CN"/>
        </w:rPr>
      </w:pPr>
      <w:r>
        <w:rPr>
          <w:rFonts w:eastAsia="仿宋_GB2312"/>
          <w:b/>
          <w:bCs/>
          <w:color w:val="000000"/>
          <w:kern w:val="0"/>
          <w:sz w:val="28"/>
          <w:szCs w:val="28"/>
          <w:shd w:val="clear" w:color="auto" w:fill="FFFFFF"/>
          <w:lang w:val="zh-CN"/>
        </w:rPr>
        <w:t>（一）评价结论。</w:t>
      </w:r>
      <w:r>
        <w:rPr>
          <w:rFonts w:eastAsia="仿宋_GB2312"/>
          <w:sz w:val="28"/>
          <w:szCs w:val="28"/>
          <w:lang w:val="zh-CN"/>
        </w:rPr>
        <w:t>202</w:t>
      </w:r>
      <w:r>
        <w:rPr>
          <w:rFonts w:eastAsia="仿宋_GB2312"/>
          <w:sz w:val="28"/>
          <w:szCs w:val="28"/>
        </w:rPr>
        <w:t>4</w:t>
      </w:r>
      <w:r>
        <w:rPr>
          <w:rFonts w:eastAsia="仿宋_GB2312"/>
          <w:sz w:val="28"/>
          <w:szCs w:val="28"/>
          <w:lang w:val="zh-CN"/>
        </w:rPr>
        <w:t>年，我单位部门整体支出绩效自查自评结果为中，全年基本支出保证了部门的正常运转，项目支出保障了重点工作的开展，按照202</w:t>
      </w:r>
      <w:r>
        <w:rPr>
          <w:rFonts w:eastAsia="仿宋_GB2312"/>
          <w:sz w:val="28"/>
          <w:szCs w:val="28"/>
        </w:rPr>
        <w:t>4</w:t>
      </w:r>
      <w:r>
        <w:rPr>
          <w:rFonts w:eastAsia="仿宋_GB2312"/>
          <w:sz w:val="28"/>
          <w:szCs w:val="28"/>
          <w:lang w:val="zh-CN"/>
        </w:rPr>
        <w:t>年度市级部门整体支出绩效评价指标体系对我单位部门预算编制、预算执行、完成结果、信息公开、整改反馈等方面进行了自评，最终得分</w:t>
      </w:r>
      <w:r>
        <w:rPr>
          <w:rFonts w:eastAsia="仿宋_GB2312"/>
          <w:sz w:val="28"/>
          <w:szCs w:val="28"/>
        </w:rPr>
        <w:t>92.11</w:t>
      </w:r>
      <w:r>
        <w:rPr>
          <w:rFonts w:eastAsia="仿宋_GB2312"/>
          <w:sz w:val="28"/>
          <w:szCs w:val="28"/>
          <w:lang w:val="zh-CN"/>
        </w:rPr>
        <w:t>分（总分</w:t>
      </w:r>
      <w:r>
        <w:rPr>
          <w:rFonts w:eastAsia="仿宋_GB2312"/>
          <w:sz w:val="28"/>
          <w:szCs w:val="28"/>
        </w:rPr>
        <w:t>100</w:t>
      </w:r>
      <w:r>
        <w:rPr>
          <w:rFonts w:eastAsia="仿宋_GB2312"/>
          <w:sz w:val="28"/>
          <w:szCs w:val="28"/>
          <w:lang w:val="zh-CN"/>
        </w:rPr>
        <w:t>分），评价结果为中。在上级主管部门的正确领导下，我单位紧紧围绕年度目标任务，团结拼搏，锐意进取，扎实工作，圆满完成了各项工作和任务。</w:t>
      </w:r>
    </w:p>
    <w:p w14:paraId="60CC20E7">
      <w:pPr>
        <w:adjustRightInd w:val="0"/>
        <w:snapToGrid w:val="0"/>
        <w:spacing w:line="560" w:lineRule="exact"/>
        <w:ind w:firstLine="562" w:firstLineChars="200"/>
        <w:contextualSpacing/>
        <w:jc w:val="left"/>
        <w:rPr>
          <w:rFonts w:eastAsia="仿宋_GB2312"/>
          <w:b/>
          <w:bCs/>
          <w:color w:val="000000"/>
          <w:kern w:val="0"/>
          <w:sz w:val="28"/>
          <w:szCs w:val="28"/>
          <w:shd w:val="clear" w:color="auto" w:fill="FFFFFF"/>
          <w:lang w:val="zh-CN"/>
        </w:rPr>
      </w:pPr>
      <w:r>
        <w:rPr>
          <w:rFonts w:eastAsia="仿宋_GB2312"/>
          <w:b/>
          <w:bCs/>
          <w:color w:val="000000"/>
          <w:kern w:val="0"/>
          <w:sz w:val="28"/>
          <w:szCs w:val="28"/>
          <w:shd w:val="clear" w:color="auto" w:fill="FFFFFF"/>
          <w:lang w:val="zh-CN"/>
        </w:rPr>
        <w:t>（二）存在问题。</w:t>
      </w:r>
    </w:p>
    <w:p w14:paraId="16B88E55">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1.预算编制方面</w:t>
      </w:r>
    </w:p>
    <w:p w14:paraId="3401BF58">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我单位预算编制准确性有待提高。</w:t>
      </w:r>
    </w:p>
    <w:p w14:paraId="168C8B4B">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2.预算执行方面</w:t>
      </w:r>
    </w:p>
    <w:p w14:paraId="2006D338">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我单位在预算执行进度上存在滞后现象，对于支出控制的把控度不够。</w:t>
      </w:r>
    </w:p>
    <w:p w14:paraId="29E9319D">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3.完成结果方面</w:t>
      </w:r>
    </w:p>
    <w:p w14:paraId="028E2BD5">
      <w:pPr>
        <w:adjustRightInd w:val="0"/>
        <w:snapToGrid w:val="0"/>
        <w:spacing w:line="560" w:lineRule="exact"/>
        <w:ind w:firstLine="560" w:firstLineChars="200"/>
        <w:contextualSpacing/>
        <w:jc w:val="left"/>
        <w:rPr>
          <w:rFonts w:eastAsia="仿宋_GB2312"/>
          <w:b/>
          <w:bCs/>
          <w:color w:val="000000"/>
          <w:kern w:val="0"/>
          <w:sz w:val="28"/>
          <w:szCs w:val="28"/>
          <w:shd w:val="clear" w:color="auto" w:fill="FFFFFF"/>
        </w:rPr>
      </w:pPr>
      <w:r>
        <w:rPr>
          <w:rFonts w:eastAsia="仿宋_GB2312"/>
          <w:sz w:val="28"/>
          <w:szCs w:val="28"/>
          <w:lang w:val="zh-CN"/>
        </w:rPr>
        <w:t>根据部门整体绩效目标制定情况，年底总结绩效完成情况，我单位的绩效完成情况良好。</w:t>
      </w:r>
    </w:p>
    <w:p w14:paraId="50C2E8EC">
      <w:pPr>
        <w:adjustRightInd w:val="0"/>
        <w:snapToGrid w:val="0"/>
        <w:spacing w:line="560" w:lineRule="exact"/>
        <w:ind w:left="420" w:leftChars="200"/>
        <w:contextualSpacing/>
        <w:jc w:val="left"/>
        <w:rPr>
          <w:rFonts w:eastAsia="仿宋_GB2312"/>
          <w:b/>
          <w:bCs/>
          <w:color w:val="000000"/>
          <w:kern w:val="0"/>
          <w:sz w:val="28"/>
          <w:szCs w:val="28"/>
          <w:shd w:val="clear" w:color="auto" w:fill="FFFFFF"/>
          <w:lang w:val="zh-CN"/>
        </w:rPr>
      </w:pPr>
      <w:r>
        <w:rPr>
          <w:rFonts w:eastAsia="仿宋_GB2312"/>
          <w:b/>
          <w:bCs/>
          <w:color w:val="000000"/>
          <w:kern w:val="0"/>
          <w:sz w:val="28"/>
          <w:szCs w:val="28"/>
          <w:shd w:val="clear" w:color="auto" w:fill="FFFFFF"/>
          <w:lang w:val="zh-CN"/>
        </w:rPr>
        <w:t>（</w:t>
      </w:r>
      <w:r>
        <w:rPr>
          <w:rFonts w:eastAsia="仿宋_GB2312"/>
          <w:b/>
          <w:bCs/>
          <w:color w:val="000000"/>
          <w:kern w:val="0"/>
          <w:sz w:val="28"/>
          <w:szCs w:val="28"/>
          <w:shd w:val="clear" w:color="auto" w:fill="FFFFFF"/>
        </w:rPr>
        <w:t>三</w:t>
      </w:r>
      <w:r>
        <w:rPr>
          <w:rFonts w:eastAsia="仿宋_GB2312"/>
          <w:b/>
          <w:bCs/>
          <w:color w:val="000000"/>
          <w:kern w:val="0"/>
          <w:sz w:val="28"/>
          <w:szCs w:val="28"/>
          <w:shd w:val="clear" w:color="auto" w:fill="FFFFFF"/>
          <w:lang w:val="zh-CN"/>
        </w:rPr>
        <w:t>）改进建议。</w:t>
      </w:r>
    </w:p>
    <w:p w14:paraId="7F567E4E">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1.重视部门整体支出的绩效评价工作，自主学习绩效评价相关知识，树立绩效评价意识，提高工作实效。年初制定部门整体支出绩效目标，并尽量描述清晰、精确。年底进行绩效目标完成情况总结，对应目标逐一进行回应。</w:t>
      </w:r>
    </w:p>
    <w:p w14:paraId="1466A232">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2.强化预算编制，并严格遵守《预算法》，各项经费收入全部纳入预算管理，提高预算精准度，追加调整预算严格执行相应的审批程序，预算内各项资金的来源、使用科目的设置规范化。</w:t>
      </w:r>
    </w:p>
    <w:p w14:paraId="1A78D824">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3.部门加强资金管理，对事前、事中进行控制，对支出进行合理把控，避免超预算、无预算开支的现象发生，积极开展年度中期评估，对下半年度资金做好计划，以提高资金使用效益。</w:t>
      </w:r>
    </w:p>
    <w:p w14:paraId="3F141054">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lang w:val="zh-CN"/>
        </w:rPr>
        <w:t>4.加强财务会计人员业务培训，提升业务质量，严格执行会计基础工作规范。及时准确地记录、反映单位经济活动，确保会计制度遵守执行。须按照统一的会计准则和制度的规定对原始凭证进行审核，对不真实、不合法的原始凭证有权不予接受，并向单位负责人报告；对记载不准确、不完整的原始凭证予以退回，并按照国家统一的会计制度的规定更正、补充。</w:t>
      </w:r>
    </w:p>
    <w:p w14:paraId="288F550D">
      <w:pPr>
        <w:adjustRightInd w:val="0"/>
        <w:snapToGrid w:val="0"/>
        <w:spacing w:line="560" w:lineRule="exact"/>
        <w:ind w:firstLine="560" w:firstLineChars="200"/>
        <w:contextualSpacing/>
        <w:jc w:val="left"/>
        <w:rPr>
          <w:rFonts w:eastAsia="仿宋_GB2312"/>
          <w:sz w:val="28"/>
          <w:szCs w:val="28"/>
          <w:lang w:val="zh-CN"/>
        </w:rPr>
      </w:pPr>
      <w:r>
        <w:rPr>
          <w:rFonts w:eastAsia="仿宋_GB2312"/>
          <w:sz w:val="28"/>
          <w:szCs w:val="28"/>
        </w:rPr>
        <w:t xml:space="preserve"> </w:t>
      </w:r>
      <w:r>
        <w:rPr>
          <w:rFonts w:eastAsia="仿宋_GB2312"/>
          <w:sz w:val="28"/>
          <w:szCs w:val="28"/>
          <w:lang w:val="zh-CN"/>
        </w:rPr>
        <w:t>5.加强完善内部控制体系，加强财政专项资金的监管工作，做到财政资金流程合规、使用透明、拨付及时，均衡支出。</w:t>
      </w:r>
    </w:p>
    <w:p w14:paraId="0328D730">
      <w:pPr>
        <w:spacing w:line="590" w:lineRule="exact"/>
        <w:ind w:firstLine="560" w:firstLineChars="200"/>
        <w:contextualSpacing/>
        <w:rPr>
          <w:rFonts w:eastAsia="仿宋_GB2312"/>
          <w:kern w:val="0"/>
          <w:sz w:val="28"/>
          <w:szCs w:val="28"/>
        </w:rPr>
      </w:pPr>
    </w:p>
    <w:p w14:paraId="4FC57EB9">
      <w:pPr>
        <w:spacing w:line="590" w:lineRule="exact"/>
        <w:contextualSpacing/>
        <w:rPr>
          <w:rFonts w:eastAsia="黑体"/>
          <w:sz w:val="33"/>
          <w:szCs w:val="33"/>
        </w:rPr>
      </w:pPr>
    </w:p>
    <w:p w14:paraId="0762AA66">
      <w:pPr>
        <w:spacing w:line="590" w:lineRule="exact"/>
        <w:ind w:firstLine="660" w:firstLineChars="200"/>
        <w:contextualSpacing/>
        <w:rPr>
          <w:rFonts w:eastAsia="仿宋_GB2312"/>
          <w:color w:val="000000"/>
          <w:kern w:val="0"/>
          <w:sz w:val="33"/>
          <w:szCs w:val="33"/>
          <w:shd w:val="clear" w:color="auto" w:fill="FFFFFF"/>
        </w:rPr>
      </w:pPr>
      <w:r>
        <w:rPr>
          <w:rFonts w:eastAsia="仿宋_GB2312"/>
          <w:color w:val="000000"/>
          <w:kern w:val="0"/>
          <w:sz w:val="33"/>
          <w:szCs w:val="33"/>
          <w:shd w:val="clear" w:color="auto" w:fill="FFFFFF"/>
        </w:rPr>
        <w:t>附表：1.</w:t>
      </w:r>
      <w:r>
        <w:rPr>
          <w:color w:val="000000"/>
          <w:kern w:val="0"/>
          <w:sz w:val="33"/>
          <w:szCs w:val="33"/>
          <w:shd w:val="clear" w:color="auto" w:fill="FFFFFF"/>
        </w:rPr>
        <w:t xml:space="preserve"> </w:t>
      </w:r>
      <w:r>
        <w:rPr>
          <w:rFonts w:eastAsia="仿宋_GB2312"/>
          <w:color w:val="000000"/>
          <w:kern w:val="0"/>
          <w:sz w:val="33"/>
          <w:szCs w:val="33"/>
          <w:shd w:val="clear" w:color="auto" w:fill="FFFFFF"/>
        </w:rPr>
        <w:t>部门整体</w:t>
      </w:r>
      <w:r>
        <w:rPr>
          <w:rFonts w:eastAsia="仿宋_GB2312"/>
          <w:spacing w:val="8"/>
          <w:sz w:val="33"/>
          <w:szCs w:val="33"/>
        </w:rPr>
        <w:t>支出</w:t>
      </w:r>
      <w:r>
        <w:rPr>
          <w:rFonts w:eastAsia="仿宋_GB2312"/>
          <w:color w:val="000000"/>
          <w:kern w:val="0"/>
          <w:sz w:val="33"/>
          <w:szCs w:val="33"/>
          <w:shd w:val="clear" w:color="auto" w:fill="FFFFFF"/>
        </w:rPr>
        <w:t>绩效自评打分表</w:t>
      </w:r>
    </w:p>
    <w:p w14:paraId="037355B4">
      <w:pPr>
        <w:spacing w:line="590" w:lineRule="exact"/>
        <w:ind w:firstLine="1650" w:firstLineChars="500"/>
        <w:contextualSpacing/>
        <w:rPr>
          <w:rFonts w:eastAsia="仿宋_GB2312"/>
          <w:color w:val="000000"/>
          <w:kern w:val="0"/>
          <w:sz w:val="33"/>
          <w:szCs w:val="33"/>
          <w:shd w:val="clear" w:color="auto" w:fill="FFFFFF"/>
        </w:rPr>
      </w:pPr>
      <w:r>
        <w:rPr>
          <w:rFonts w:eastAsia="仿宋_GB2312"/>
          <w:color w:val="000000"/>
          <w:kern w:val="0"/>
          <w:sz w:val="33"/>
          <w:szCs w:val="33"/>
          <w:shd w:val="clear" w:color="auto" w:fill="FFFFFF"/>
        </w:rPr>
        <w:t>2.</w:t>
      </w:r>
      <w:r>
        <w:rPr>
          <w:color w:val="000000"/>
          <w:kern w:val="0"/>
          <w:sz w:val="33"/>
          <w:szCs w:val="33"/>
          <w:shd w:val="clear" w:color="auto" w:fill="FFFFFF"/>
        </w:rPr>
        <w:t xml:space="preserve"> </w:t>
      </w:r>
      <w:r>
        <w:rPr>
          <w:rFonts w:eastAsia="仿宋_GB2312"/>
          <w:color w:val="000000"/>
          <w:kern w:val="0"/>
          <w:sz w:val="33"/>
          <w:szCs w:val="33"/>
          <w:shd w:val="clear" w:color="auto" w:fill="FFFFFF"/>
        </w:rPr>
        <w:t>部门整体支出绩效目标表</w:t>
      </w:r>
    </w:p>
    <w:p w14:paraId="63F515DD">
      <w:pPr>
        <w:pStyle w:val="16"/>
        <w:ind w:left="0" w:leftChars="0" w:firstLine="0" w:firstLineChars="0"/>
        <w:rPr>
          <w:rFonts w:ascii="Times New Roman" w:eastAsia="黑体"/>
          <w:sz w:val="24"/>
          <w:szCs w:val="24"/>
        </w:rPr>
      </w:pPr>
    </w:p>
    <w:p w14:paraId="119B1972">
      <w:pPr>
        <w:pStyle w:val="16"/>
        <w:ind w:left="0" w:leftChars="0" w:firstLine="0" w:firstLineChars="0"/>
        <w:rPr>
          <w:rFonts w:ascii="Times New Roman" w:eastAsia="黑体"/>
          <w:sz w:val="24"/>
          <w:szCs w:val="24"/>
        </w:rPr>
      </w:pPr>
    </w:p>
    <w:p w14:paraId="6DBB1350">
      <w:pPr>
        <w:pStyle w:val="16"/>
        <w:ind w:left="0" w:leftChars="0" w:firstLine="0" w:firstLineChars="0"/>
        <w:rPr>
          <w:rFonts w:ascii="Times New Roman" w:eastAsia="黑体"/>
          <w:sz w:val="24"/>
          <w:szCs w:val="24"/>
        </w:rPr>
      </w:pPr>
    </w:p>
    <w:p w14:paraId="30FB5E5D">
      <w:pPr>
        <w:pStyle w:val="16"/>
        <w:ind w:left="0" w:leftChars="0" w:firstLine="0" w:firstLineChars="0"/>
        <w:rPr>
          <w:rFonts w:ascii="Times New Roman" w:eastAsia="黑体"/>
          <w:sz w:val="24"/>
          <w:szCs w:val="24"/>
        </w:rPr>
      </w:pPr>
    </w:p>
    <w:p w14:paraId="3CBC68E8">
      <w:pPr>
        <w:pStyle w:val="16"/>
        <w:ind w:left="0" w:leftChars="0" w:firstLine="0" w:firstLineChars="0"/>
        <w:rPr>
          <w:rFonts w:ascii="Times New Roman" w:eastAsia="黑体"/>
          <w:sz w:val="24"/>
          <w:szCs w:val="24"/>
        </w:rPr>
      </w:pPr>
    </w:p>
    <w:p w14:paraId="40FDEE8E">
      <w:pPr>
        <w:pStyle w:val="16"/>
        <w:ind w:left="0" w:leftChars="0" w:firstLine="0" w:firstLineChars="0"/>
        <w:rPr>
          <w:rFonts w:ascii="Times New Roman" w:eastAsia="黑体"/>
          <w:sz w:val="24"/>
          <w:szCs w:val="24"/>
        </w:rPr>
      </w:pPr>
    </w:p>
    <w:p w14:paraId="0D22D67E">
      <w:pPr>
        <w:pStyle w:val="16"/>
        <w:ind w:left="0" w:leftChars="0" w:firstLine="0" w:firstLineChars="0"/>
        <w:rPr>
          <w:rFonts w:ascii="Times New Roman" w:eastAsia="黑体"/>
          <w:sz w:val="24"/>
          <w:szCs w:val="24"/>
        </w:rPr>
      </w:pPr>
    </w:p>
    <w:p w14:paraId="0F885BB1">
      <w:pPr>
        <w:pStyle w:val="16"/>
        <w:ind w:left="0" w:leftChars="0" w:firstLine="0" w:firstLineChars="0"/>
        <w:rPr>
          <w:rFonts w:ascii="Times New Roman" w:eastAsia="黑体"/>
          <w:sz w:val="24"/>
          <w:szCs w:val="24"/>
        </w:rPr>
      </w:pPr>
    </w:p>
    <w:p w14:paraId="31D1A88C">
      <w:pPr>
        <w:pStyle w:val="16"/>
        <w:ind w:left="0" w:leftChars="0" w:firstLine="0" w:firstLineChars="0"/>
        <w:rPr>
          <w:rFonts w:ascii="Times New Roman" w:eastAsia="黑体"/>
          <w:sz w:val="24"/>
          <w:szCs w:val="24"/>
        </w:rPr>
      </w:pPr>
    </w:p>
    <w:p w14:paraId="7B1C45BE">
      <w:pPr>
        <w:pStyle w:val="16"/>
        <w:ind w:left="0" w:leftChars="0" w:firstLine="0" w:firstLineChars="0"/>
        <w:rPr>
          <w:rFonts w:ascii="Times New Roman" w:eastAsia="黑体"/>
          <w:sz w:val="24"/>
          <w:szCs w:val="24"/>
        </w:rPr>
      </w:pPr>
    </w:p>
    <w:p w14:paraId="2E6998E9">
      <w:pPr>
        <w:pStyle w:val="16"/>
        <w:ind w:left="0" w:leftChars="0" w:firstLine="0" w:firstLineChars="0"/>
        <w:rPr>
          <w:rFonts w:ascii="Times New Roman" w:eastAsia="黑体"/>
          <w:sz w:val="24"/>
          <w:szCs w:val="24"/>
        </w:rPr>
      </w:pPr>
    </w:p>
    <w:p w14:paraId="6C78ADA8">
      <w:pPr>
        <w:pStyle w:val="16"/>
        <w:ind w:left="0" w:leftChars="0" w:firstLine="0" w:firstLineChars="0"/>
        <w:rPr>
          <w:rFonts w:ascii="Times New Roman" w:eastAsia="黑体"/>
          <w:sz w:val="24"/>
          <w:szCs w:val="24"/>
        </w:rPr>
      </w:pPr>
    </w:p>
    <w:p w14:paraId="002A186C">
      <w:pPr>
        <w:pStyle w:val="16"/>
        <w:ind w:left="0" w:leftChars="0" w:firstLine="0" w:firstLineChars="0"/>
        <w:rPr>
          <w:rFonts w:ascii="Times New Roman" w:eastAsia="黑体"/>
          <w:sz w:val="24"/>
          <w:szCs w:val="24"/>
        </w:rPr>
      </w:pPr>
    </w:p>
    <w:p w14:paraId="2C0E5CC5">
      <w:pPr>
        <w:pStyle w:val="16"/>
        <w:ind w:left="0" w:leftChars="0" w:firstLine="0" w:firstLineChars="0"/>
        <w:rPr>
          <w:rFonts w:ascii="Times New Roman" w:eastAsia="黑体"/>
          <w:sz w:val="24"/>
          <w:szCs w:val="24"/>
        </w:rPr>
      </w:pPr>
    </w:p>
    <w:p w14:paraId="714221FC">
      <w:pPr>
        <w:pStyle w:val="16"/>
        <w:ind w:left="0" w:leftChars="0" w:firstLine="0" w:firstLineChars="0"/>
        <w:rPr>
          <w:rFonts w:ascii="Times New Roman" w:eastAsia="黑体"/>
          <w:sz w:val="24"/>
          <w:szCs w:val="24"/>
        </w:rPr>
      </w:pPr>
    </w:p>
    <w:p w14:paraId="1E623211">
      <w:pPr>
        <w:pStyle w:val="16"/>
        <w:ind w:left="0" w:leftChars="0" w:firstLine="0" w:firstLineChars="0"/>
        <w:rPr>
          <w:rFonts w:ascii="Times New Roman" w:eastAsia="黑体"/>
          <w:sz w:val="24"/>
          <w:szCs w:val="24"/>
        </w:rPr>
      </w:pPr>
    </w:p>
    <w:p w14:paraId="175E59E4">
      <w:pPr>
        <w:pStyle w:val="16"/>
        <w:ind w:left="0" w:leftChars="0" w:firstLine="0" w:firstLineChars="0"/>
        <w:rPr>
          <w:rFonts w:ascii="Times New Roman" w:eastAsia="黑体"/>
          <w:sz w:val="24"/>
          <w:szCs w:val="24"/>
        </w:rPr>
      </w:pPr>
    </w:p>
    <w:p w14:paraId="5212168F">
      <w:pPr>
        <w:pStyle w:val="16"/>
        <w:ind w:left="0" w:leftChars="0" w:firstLine="0" w:firstLineChars="0"/>
        <w:rPr>
          <w:rFonts w:ascii="Times New Roman" w:eastAsia="黑体"/>
          <w:sz w:val="24"/>
          <w:szCs w:val="24"/>
        </w:rPr>
      </w:pPr>
    </w:p>
    <w:p w14:paraId="7049A8F2">
      <w:pPr>
        <w:pStyle w:val="16"/>
        <w:ind w:left="0" w:leftChars="0" w:firstLine="0" w:firstLineChars="0"/>
        <w:rPr>
          <w:rFonts w:ascii="Times New Roman" w:eastAsia="黑体"/>
          <w:sz w:val="24"/>
          <w:szCs w:val="24"/>
        </w:rPr>
      </w:pPr>
    </w:p>
    <w:p w14:paraId="5E6FAB59">
      <w:pPr>
        <w:pStyle w:val="16"/>
        <w:ind w:left="0" w:leftChars="0" w:firstLine="0" w:firstLineChars="0"/>
        <w:rPr>
          <w:rFonts w:hint="eastAsia" w:ascii="Times New Roman" w:eastAsia="黑体"/>
          <w:sz w:val="24"/>
          <w:szCs w:val="24"/>
        </w:rPr>
      </w:pPr>
    </w:p>
    <w:p w14:paraId="004B8B7A">
      <w:pPr>
        <w:pStyle w:val="16"/>
        <w:ind w:left="0" w:leftChars="0" w:firstLine="0" w:firstLineChars="0"/>
        <w:rPr>
          <w:rFonts w:hint="eastAsia" w:ascii="Times New Roman" w:eastAsia="黑体"/>
          <w:sz w:val="24"/>
          <w:szCs w:val="24"/>
        </w:rPr>
      </w:pPr>
    </w:p>
    <w:p w14:paraId="397AC1A2">
      <w:pPr>
        <w:pStyle w:val="16"/>
        <w:ind w:left="0" w:leftChars="0" w:firstLine="0" w:firstLineChars="0"/>
        <w:rPr>
          <w:rFonts w:hint="eastAsia" w:ascii="Times New Roman" w:eastAsia="黑体"/>
          <w:sz w:val="24"/>
          <w:szCs w:val="24"/>
        </w:rPr>
      </w:pPr>
    </w:p>
    <w:p w14:paraId="4824E80C">
      <w:pPr>
        <w:pStyle w:val="16"/>
        <w:ind w:left="0" w:leftChars="0" w:firstLine="0" w:firstLineChars="0"/>
        <w:rPr>
          <w:rFonts w:hint="eastAsia" w:ascii="Times New Roman" w:eastAsia="黑体"/>
          <w:sz w:val="24"/>
          <w:szCs w:val="24"/>
        </w:rPr>
      </w:pPr>
    </w:p>
    <w:p w14:paraId="1613B572">
      <w:pPr>
        <w:pStyle w:val="16"/>
        <w:ind w:left="0" w:leftChars="0" w:firstLine="0" w:firstLineChars="0"/>
        <w:rPr>
          <w:rFonts w:hint="eastAsia" w:ascii="Times New Roman" w:eastAsia="黑体"/>
          <w:sz w:val="24"/>
          <w:szCs w:val="24"/>
        </w:rPr>
      </w:pPr>
    </w:p>
    <w:p w14:paraId="4D2C6453">
      <w:pPr>
        <w:pStyle w:val="16"/>
        <w:ind w:left="0" w:leftChars="0" w:firstLine="0" w:firstLineChars="0"/>
        <w:rPr>
          <w:rFonts w:ascii="Times New Roman" w:eastAsia="黑体"/>
          <w:sz w:val="24"/>
          <w:szCs w:val="24"/>
        </w:rPr>
      </w:pPr>
    </w:p>
    <w:p w14:paraId="3C212303">
      <w:pPr>
        <w:pStyle w:val="16"/>
        <w:ind w:left="0" w:leftChars="0" w:firstLine="0" w:firstLineChars="0"/>
        <w:rPr>
          <w:rFonts w:ascii="Times New Roman" w:eastAsia="黑体"/>
          <w:sz w:val="24"/>
          <w:szCs w:val="24"/>
        </w:rPr>
      </w:pPr>
    </w:p>
    <w:p w14:paraId="7AB69F83">
      <w:pPr>
        <w:pStyle w:val="16"/>
        <w:ind w:left="0" w:leftChars="0" w:firstLine="0" w:firstLineChars="0"/>
        <w:rPr>
          <w:rFonts w:ascii="Times New Roman" w:eastAsia="黑体"/>
          <w:sz w:val="24"/>
          <w:szCs w:val="24"/>
        </w:rPr>
      </w:pPr>
    </w:p>
    <w:p w14:paraId="0AB93D50">
      <w:pPr>
        <w:pStyle w:val="16"/>
        <w:ind w:left="0" w:leftChars="0" w:firstLine="0" w:firstLineChars="0"/>
        <w:rPr>
          <w:rFonts w:ascii="Times New Roman" w:eastAsia="仿宋_GB2312"/>
          <w:color w:val="000000"/>
          <w:kern w:val="0"/>
          <w:sz w:val="33"/>
          <w:szCs w:val="33"/>
          <w:shd w:val="clear" w:color="auto" w:fill="FFFFFF"/>
        </w:rPr>
      </w:pPr>
      <w:r>
        <w:rPr>
          <w:rFonts w:ascii="黑体" w:hAnsi="黑体" w:eastAsia="黑体"/>
          <w:color w:val="000000"/>
          <w:kern w:val="0"/>
          <w:sz w:val="32"/>
          <w:shd w:val="clear" w:color="auto" w:fill="FFFFFF"/>
        </w:rPr>
        <w:t>附表</w:t>
      </w:r>
      <w:r>
        <w:rPr>
          <w:rFonts w:ascii="Times New Roman" w:eastAsia="仿宋_GB2312"/>
          <w:color w:val="000000"/>
          <w:kern w:val="0"/>
          <w:sz w:val="33"/>
          <w:szCs w:val="33"/>
          <w:shd w:val="clear" w:color="auto" w:fill="FFFFFF"/>
        </w:rPr>
        <w:t>1</w:t>
      </w:r>
    </w:p>
    <w:tbl>
      <w:tblPr>
        <w:tblStyle w:val="19"/>
        <w:tblW w:w="9580" w:type="dxa"/>
        <w:tblInd w:w="93" w:type="dxa"/>
        <w:tblLayout w:type="fixed"/>
        <w:tblCellMar>
          <w:top w:w="0" w:type="dxa"/>
          <w:left w:w="108" w:type="dxa"/>
          <w:bottom w:w="0" w:type="dxa"/>
          <w:right w:w="108" w:type="dxa"/>
        </w:tblCellMar>
      </w:tblPr>
      <w:tblGrid>
        <w:gridCol w:w="699"/>
        <w:gridCol w:w="699"/>
        <w:gridCol w:w="1132"/>
        <w:gridCol w:w="546"/>
        <w:gridCol w:w="1613"/>
        <w:gridCol w:w="3510"/>
        <w:gridCol w:w="870"/>
        <w:gridCol w:w="511"/>
      </w:tblGrid>
      <w:tr w14:paraId="582C91D3">
        <w:tblPrEx>
          <w:tblCellMar>
            <w:top w:w="0" w:type="dxa"/>
            <w:left w:w="108" w:type="dxa"/>
            <w:bottom w:w="0" w:type="dxa"/>
            <w:right w:w="108" w:type="dxa"/>
          </w:tblCellMar>
        </w:tblPrEx>
        <w:trPr>
          <w:trHeight w:val="919" w:hRule="atLeast"/>
        </w:trPr>
        <w:tc>
          <w:tcPr>
            <w:tcW w:w="9580" w:type="dxa"/>
            <w:gridSpan w:val="8"/>
            <w:tcBorders>
              <w:top w:val="nil"/>
              <w:left w:val="nil"/>
              <w:bottom w:val="nil"/>
              <w:right w:val="nil"/>
            </w:tcBorders>
            <w:shd w:val="clear" w:color="auto" w:fill="auto"/>
            <w:vAlign w:val="center"/>
          </w:tcPr>
          <w:p w14:paraId="497DAF3B">
            <w:pPr>
              <w:widowControl/>
              <w:jc w:val="center"/>
              <w:textAlignment w:val="center"/>
              <w:rPr>
                <w:rFonts w:eastAsia="方正小标宋简体"/>
                <w:color w:val="000000"/>
                <w:sz w:val="36"/>
                <w:szCs w:val="36"/>
              </w:rPr>
            </w:pPr>
            <w:r>
              <w:rPr>
                <w:rFonts w:eastAsia="方正小标宋简体"/>
                <w:color w:val="000000"/>
                <w:kern w:val="0"/>
                <w:sz w:val="36"/>
                <w:szCs w:val="36"/>
              </w:rPr>
              <w:t>部门整体支出绩效自评打分表</w:t>
            </w:r>
          </w:p>
        </w:tc>
      </w:tr>
      <w:tr w14:paraId="50F0CC0B">
        <w:tblPrEx>
          <w:tblCellMar>
            <w:top w:w="0" w:type="dxa"/>
            <w:left w:w="108" w:type="dxa"/>
            <w:bottom w:w="0" w:type="dxa"/>
            <w:right w:w="108" w:type="dxa"/>
          </w:tblCellMar>
        </w:tblPrEx>
        <w:trPr>
          <w:trHeight w:val="558" w:hRule="atLeast"/>
        </w:trPr>
        <w:tc>
          <w:tcPr>
            <w:tcW w:w="3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B2A40">
            <w:pPr>
              <w:widowControl/>
              <w:jc w:val="center"/>
              <w:textAlignment w:val="center"/>
              <w:rPr>
                <w:rFonts w:eastAsia="黑体"/>
                <w:color w:val="000000"/>
                <w:sz w:val="24"/>
              </w:rPr>
            </w:pPr>
            <w:r>
              <w:rPr>
                <w:rFonts w:eastAsia="黑体"/>
                <w:color w:val="000000"/>
                <w:kern w:val="0"/>
                <w:sz w:val="24"/>
              </w:rPr>
              <w:t>绩效指标</w:t>
            </w:r>
          </w:p>
        </w:tc>
        <w:tc>
          <w:tcPr>
            <w:tcW w:w="1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17D6B">
            <w:pPr>
              <w:widowControl/>
              <w:jc w:val="center"/>
              <w:textAlignment w:val="center"/>
              <w:rPr>
                <w:rFonts w:eastAsia="黑体"/>
                <w:color w:val="000000"/>
                <w:sz w:val="24"/>
              </w:rPr>
            </w:pPr>
            <w:r>
              <w:rPr>
                <w:rFonts w:eastAsia="黑体"/>
                <w:color w:val="000000"/>
                <w:kern w:val="0"/>
                <w:sz w:val="24"/>
              </w:rPr>
              <w:t>指标解释</w:t>
            </w:r>
          </w:p>
        </w:tc>
        <w:tc>
          <w:tcPr>
            <w:tcW w:w="3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39FBE">
            <w:pPr>
              <w:widowControl/>
              <w:jc w:val="center"/>
              <w:textAlignment w:val="center"/>
              <w:rPr>
                <w:rFonts w:eastAsia="黑体"/>
                <w:color w:val="000000"/>
                <w:sz w:val="24"/>
              </w:rPr>
            </w:pPr>
            <w:r>
              <w:rPr>
                <w:rFonts w:eastAsia="黑体"/>
                <w:color w:val="000000"/>
                <w:kern w:val="0"/>
                <w:sz w:val="24"/>
              </w:rPr>
              <w:t>评分说明</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9880A">
            <w:pPr>
              <w:widowControl/>
              <w:jc w:val="center"/>
              <w:textAlignment w:val="center"/>
              <w:rPr>
                <w:rFonts w:eastAsia="黑体"/>
                <w:color w:val="000000"/>
                <w:sz w:val="24"/>
              </w:rPr>
            </w:pPr>
            <w:r>
              <w:rPr>
                <w:rFonts w:eastAsia="黑体"/>
                <w:color w:val="000000"/>
                <w:kern w:val="0"/>
                <w:sz w:val="24"/>
              </w:rPr>
              <w:t>自评得分</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447E">
            <w:pPr>
              <w:widowControl/>
              <w:jc w:val="center"/>
              <w:textAlignment w:val="center"/>
              <w:rPr>
                <w:rFonts w:eastAsia="黑体"/>
                <w:color w:val="000000"/>
                <w:sz w:val="24"/>
              </w:rPr>
            </w:pPr>
            <w:r>
              <w:rPr>
                <w:rFonts w:eastAsia="黑体"/>
                <w:color w:val="000000"/>
                <w:kern w:val="0"/>
                <w:sz w:val="24"/>
              </w:rPr>
              <w:t>备注</w:t>
            </w:r>
          </w:p>
        </w:tc>
      </w:tr>
      <w:tr w14:paraId="0976DED5">
        <w:tblPrEx>
          <w:tblCellMar>
            <w:top w:w="0" w:type="dxa"/>
            <w:left w:w="108" w:type="dxa"/>
            <w:bottom w:w="0" w:type="dxa"/>
            <w:right w:w="108" w:type="dxa"/>
          </w:tblCellMar>
        </w:tblPrEx>
        <w:trPr>
          <w:trHeight w:val="929" w:hRule="atLeast"/>
        </w:trPr>
        <w:tc>
          <w:tcPr>
            <w:tcW w:w="699" w:type="dxa"/>
            <w:tcBorders>
              <w:top w:val="single" w:color="000000" w:sz="4" w:space="0"/>
              <w:left w:val="single" w:color="000000" w:sz="4" w:space="0"/>
              <w:bottom w:val="single" w:color="000000" w:sz="4" w:space="0"/>
              <w:right w:val="nil"/>
            </w:tcBorders>
            <w:shd w:val="clear" w:color="auto" w:fill="auto"/>
            <w:vAlign w:val="center"/>
          </w:tcPr>
          <w:p w14:paraId="43633DE2">
            <w:pPr>
              <w:widowControl/>
              <w:jc w:val="center"/>
              <w:textAlignment w:val="center"/>
              <w:rPr>
                <w:rFonts w:eastAsia="黑体"/>
                <w:color w:val="000000"/>
                <w:sz w:val="24"/>
              </w:rPr>
            </w:pPr>
            <w:r>
              <w:rPr>
                <w:rFonts w:eastAsia="黑体"/>
                <w:color w:val="000000"/>
                <w:kern w:val="0"/>
                <w:sz w:val="24"/>
              </w:rPr>
              <w:t>一级指标</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44A">
            <w:pPr>
              <w:widowControl/>
              <w:jc w:val="center"/>
              <w:textAlignment w:val="center"/>
              <w:rPr>
                <w:rFonts w:eastAsia="黑体"/>
                <w:color w:val="000000"/>
                <w:sz w:val="24"/>
              </w:rPr>
            </w:pPr>
            <w:r>
              <w:rPr>
                <w:rFonts w:eastAsia="黑体"/>
                <w:color w:val="000000"/>
                <w:kern w:val="0"/>
                <w:sz w:val="24"/>
              </w:rPr>
              <w:t>二级指标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2957">
            <w:pPr>
              <w:widowControl/>
              <w:jc w:val="center"/>
              <w:textAlignment w:val="center"/>
              <w:rPr>
                <w:rFonts w:eastAsia="黑体"/>
                <w:color w:val="000000"/>
                <w:sz w:val="24"/>
              </w:rPr>
            </w:pPr>
            <w:r>
              <w:rPr>
                <w:rFonts w:eastAsia="黑体"/>
                <w:color w:val="000000"/>
                <w:kern w:val="0"/>
                <w:sz w:val="24"/>
              </w:rPr>
              <w:t>三级指标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8F0">
            <w:pPr>
              <w:widowControl/>
              <w:jc w:val="center"/>
              <w:textAlignment w:val="center"/>
              <w:rPr>
                <w:rFonts w:eastAsia="黑体"/>
                <w:color w:val="000000"/>
                <w:sz w:val="24"/>
              </w:rPr>
            </w:pPr>
            <w:r>
              <w:rPr>
                <w:rFonts w:eastAsia="黑体"/>
                <w:color w:val="000000"/>
                <w:kern w:val="0"/>
                <w:sz w:val="24"/>
              </w:rPr>
              <w:t>指标分值</w:t>
            </w:r>
          </w:p>
        </w:tc>
        <w:tc>
          <w:tcPr>
            <w:tcW w:w="1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8296">
            <w:pPr>
              <w:jc w:val="center"/>
              <w:rPr>
                <w:rFonts w:eastAsia="黑体"/>
                <w:color w:val="000000"/>
                <w:sz w:val="24"/>
              </w:rPr>
            </w:pPr>
          </w:p>
        </w:tc>
        <w:tc>
          <w:tcPr>
            <w:tcW w:w="3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BC02">
            <w:pPr>
              <w:jc w:val="center"/>
              <w:rPr>
                <w:rFonts w:eastAsia="黑体"/>
                <w:color w:val="000000"/>
                <w:sz w:val="24"/>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FAD9">
            <w:pPr>
              <w:jc w:val="center"/>
              <w:rPr>
                <w:rFonts w:eastAsia="黑体"/>
                <w:color w:val="000000"/>
                <w:sz w:val="24"/>
              </w:rPr>
            </w:pP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67A2">
            <w:pPr>
              <w:jc w:val="center"/>
              <w:rPr>
                <w:rFonts w:eastAsia="黑体"/>
                <w:color w:val="000000"/>
                <w:sz w:val="24"/>
              </w:rPr>
            </w:pPr>
          </w:p>
        </w:tc>
      </w:tr>
      <w:tr w14:paraId="1EEDFFE0">
        <w:tblPrEx>
          <w:tblCellMar>
            <w:top w:w="0" w:type="dxa"/>
            <w:left w:w="108" w:type="dxa"/>
            <w:bottom w:w="0" w:type="dxa"/>
            <w:right w:w="108" w:type="dxa"/>
          </w:tblCellMar>
        </w:tblPrEx>
        <w:trPr>
          <w:trHeight w:val="929"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47AAE">
            <w:pPr>
              <w:widowControl/>
              <w:jc w:val="center"/>
              <w:textAlignment w:val="center"/>
              <w:rPr>
                <w:b/>
                <w:bCs/>
                <w:color w:val="000000"/>
                <w:sz w:val="24"/>
              </w:rPr>
            </w:pPr>
            <w:r>
              <w:rPr>
                <w:b/>
                <w:bCs/>
                <w:color w:val="000000"/>
                <w:kern w:val="0"/>
                <w:sz w:val="24"/>
              </w:rPr>
              <w:t>总体绩效</w:t>
            </w:r>
            <w:r>
              <w:rPr>
                <w:b/>
                <w:bCs/>
                <w:color w:val="000000"/>
                <w:kern w:val="0"/>
                <w:sz w:val="24"/>
              </w:rPr>
              <w:br w:type="textWrapping"/>
            </w:r>
            <w:r>
              <w:rPr>
                <w:b/>
                <w:bCs/>
                <w:color w:val="000000"/>
                <w:kern w:val="0"/>
                <w:sz w:val="24"/>
              </w:rPr>
              <w:t>（65分）</w:t>
            </w:r>
          </w:p>
        </w:tc>
        <w:tc>
          <w:tcPr>
            <w:tcW w:w="699" w:type="dxa"/>
            <w:vMerge w:val="restart"/>
            <w:tcBorders>
              <w:top w:val="single" w:color="000000" w:sz="4" w:space="0"/>
              <w:left w:val="single" w:color="000000" w:sz="4" w:space="0"/>
              <w:bottom w:val="nil"/>
              <w:right w:val="single" w:color="000000" w:sz="4" w:space="0"/>
            </w:tcBorders>
            <w:shd w:val="clear" w:color="auto" w:fill="auto"/>
            <w:vAlign w:val="center"/>
          </w:tcPr>
          <w:p w14:paraId="67CB01EC">
            <w:pPr>
              <w:widowControl/>
              <w:jc w:val="center"/>
              <w:textAlignment w:val="center"/>
              <w:rPr>
                <w:b/>
                <w:bCs/>
                <w:color w:val="000000"/>
                <w:sz w:val="24"/>
              </w:rPr>
            </w:pPr>
            <w:r>
              <w:rPr>
                <w:b/>
                <w:bCs/>
                <w:color w:val="000000"/>
                <w:kern w:val="0"/>
                <w:sz w:val="24"/>
              </w:rPr>
              <w:t>履职效能</w:t>
            </w:r>
            <w:r>
              <w:rPr>
                <w:b/>
                <w:bCs/>
                <w:color w:val="000000"/>
                <w:kern w:val="0"/>
                <w:sz w:val="24"/>
              </w:rPr>
              <w:br w:type="textWrapping"/>
            </w:r>
            <w:r>
              <w:rPr>
                <w:b/>
                <w:bCs/>
                <w:color w:val="000000"/>
                <w:kern w:val="0"/>
                <w:sz w:val="24"/>
              </w:rPr>
              <w:t>（10分）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EBE">
            <w:pPr>
              <w:widowControl/>
              <w:jc w:val="left"/>
              <w:textAlignment w:val="center"/>
              <w:rPr>
                <w:color w:val="000000"/>
                <w:kern w:val="0"/>
                <w:sz w:val="18"/>
                <w:szCs w:val="18"/>
              </w:rPr>
            </w:pPr>
            <w:r>
              <w:rPr>
                <w:color w:val="000000"/>
                <w:kern w:val="0"/>
                <w:sz w:val="18"/>
                <w:szCs w:val="18"/>
              </w:rPr>
              <w:t>无线电管理履职效果</w:t>
            </w:r>
          </w:p>
        </w:tc>
        <w:tc>
          <w:tcPr>
            <w:tcW w:w="546" w:type="dxa"/>
            <w:vMerge w:val="restart"/>
            <w:tcBorders>
              <w:top w:val="single" w:color="000000" w:sz="4" w:space="0"/>
              <w:left w:val="single" w:color="000000" w:sz="4" w:space="0"/>
              <w:bottom w:val="nil"/>
              <w:right w:val="single" w:color="000000" w:sz="4" w:space="0"/>
            </w:tcBorders>
            <w:shd w:val="clear" w:color="auto" w:fill="auto"/>
            <w:vAlign w:val="center"/>
          </w:tcPr>
          <w:p w14:paraId="574ACD7D">
            <w:pPr>
              <w:widowControl/>
              <w:jc w:val="left"/>
              <w:textAlignment w:val="center"/>
              <w:rPr>
                <w:color w:val="000000"/>
                <w:kern w:val="0"/>
                <w:sz w:val="18"/>
                <w:szCs w:val="18"/>
              </w:rPr>
            </w:pPr>
            <w:r>
              <w:rPr>
                <w:color w:val="000000"/>
                <w:kern w:val="0"/>
                <w:sz w:val="18"/>
                <w:szCs w:val="18"/>
              </w:rPr>
              <w:t>10</w:t>
            </w:r>
          </w:p>
        </w:tc>
        <w:tc>
          <w:tcPr>
            <w:tcW w:w="1613" w:type="dxa"/>
            <w:vMerge w:val="restart"/>
            <w:tcBorders>
              <w:top w:val="single" w:color="000000" w:sz="4" w:space="0"/>
              <w:left w:val="single" w:color="000000" w:sz="4" w:space="0"/>
              <w:bottom w:val="nil"/>
              <w:right w:val="single" w:color="000000" w:sz="4" w:space="0"/>
            </w:tcBorders>
            <w:shd w:val="clear" w:color="auto" w:fill="auto"/>
            <w:vAlign w:val="center"/>
          </w:tcPr>
          <w:p w14:paraId="7E98F4DF">
            <w:pPr>
              <w:widowControl/>
              <w:jc w:val="left"/>
              <w:textAlignment w:val="center"/>
              <w:rPr>
                <w:color w:val="000000"/>
                <w:kern w:val="0"/>
                <w:sz w:val="18"/>
                <w:szCs w:val="18"/>
              </w:rPr>
            </w:pPr>
            <w:r>
              <w:rPr>
                <w:color w:val="000000"/>
                <w:kern w:val="0"/>
                <w:sz w:val="18"/>
                <w:szCs w:val="18"/>
              </w:rPr>
              <w:t>部门整体绩效目标中选定4-6个核心职能目标，反映该项职能目标完成效果情况</w:t>
            </w:r>
          </w:p>
        </w:tc>
        <w:tc>
          <w:tcPr>
            <w:tcW w:w="3510" w:type="dxa"/>
            <w:vMerge w:val="restart"/>
            <w:tcBorders>
              <w:top w:val="single" w:color="000000" w:sz="4" w:space="0"/>
              <w:left w:val="single" w:color="000000" w:sz="4" w:space="0"/>
              <w:bottom w:val="nil"/>
              <w:right w:val="single" w:color="000000" w:sz="4" w:space="0"/>
            </w:tcBorders>
            <w:shd w:val="clear" w:color="auto" w:fill="auto"/>
            <w:vAlign w:val="center"/>
          </w:tcPr>
          <w:p w14:paraId="64F69D90">
            <w:pPr>
              <w:widowControl/>
              <w:jc w:val="left"/>
              <w:textAlignment w:val="center"/>
              <w:rPr>
                <w:color w:val="000000"/>
                <w:kern w:val="0"/>
                <w:sz w:val="18"/>
                <w:szCs w:val="18"/>
              </w:rPr>
            </w:pPr>
            <w:r>
              <w:rPr>
                <w:color w:val="000000"/>
                <w:kern w:val="0"/>
                <w:sz w:val="18"/>
                <w:szCs w:val="18"/>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870" w:type="dxa"/>
            <w:vMerge w:val="restart"/>
            <w:tcBorders>
              <w:top w:val="single" w:color="000000" w:sz="4" w:space="0"/>
              <w:left w:val="single" w:color="000000" w:sz="4" w:space="0"/>
              <w:bottom w:val="nil"/>
              <w:right w:val="single" w:color="000000" w:sz="4" w:space="0"/>
            </w:tcBorders>
            <w:shd w:val="clear" w:color="auto" w:fill="auto"/>
            <w:vAlign w:val="center"/>
          </w:tcPr>
          <w:p w14:paraId="1715F27B">
            <w:pPr>
              <w:widowControl/>
              <w:jc w:val="center"/>
              <w:textAlignment w:val="center"/>
              <w:rPr>
                <w:color w:val="000000"/>
                <w:sz w:val="24"/>
              </w:rPr>
            </w:pPr>
            <w:r>
              <w:rPr>
                <w:color w:val="000000"/>
                <w:kern w:val="0"/>
                <w:sz w:val="24"/>
              </w:rPr>
              <w:t>10</w:t>
            </w:r>
          </w:p>
        </w:tc>
        <w:tc>
          <w:tcPr>
            <w:tcW w:w="511" w:type="dxa"/>
            <w:vMerge w:val="restart"/>
            <w:tcBorders>
              <w:top w:val="single" w:color="000000" w:sz="4" w:space="0"/>
              <w:left w:val="single" w:color="000000" w:sz="4" w:space="0"/>
              <w:bottom w:val="nil"/>
              <w:right w:val="single" w:color="000000" w:sz="4" w:space="0"/>
            </w:tcBorders>
            <w:shd w:val="clear" w:color="auto" w:fill="auto"/>
            <w:vAlign w:val="center"/>
          </w:tcPr>
          <w:p w14:paraId="004CF04B">
            <w:pPr>
              <w:jc w:val="center"/>
              <w:rPr>
                <w:color w:val="000000"/>
                <w:sz w:val="24"/>
              </w:rPr>
            </w:pPr>
          </w:p>
        </w:tc>
      </w:tr>
      <w:tr w14:paraId="188A9A08">
        <w:tblPrEx>
          <w:tblCellMar>
            <w:top w:w="0" w:type="dxa"/>
            <w:left w:w="108" w:type="dxa"/>
            <w:bottom w:w="0" w:type="dxa"/>
            <w:right w:w="108" w:type="dxa"/>
          </w:tblCellMar>
        </w:tblPrEx>
        <w:trPr>
          <w:trHeight w:val="92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D24A">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55A3D1B8">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4DF7">
            <w:pPr>
              <w:widowControl/>
              <w:jc w:val="left"/>
              <w:textAlignment w:val="center"/>
              <w:rPr>
                <w:color w:val="000000"/>
                <w:kern w:val="0"/>
                <w:sz w:val="18"/>
                <w:szCs w:val="18"/>
              </w:rPr>
            </w:pPr>
            <w:r>
              <w:rPr>
                <w:color w:val="000000"/>
                <w:kern w:val="0"/>
                <w:sz w:val="18"/>
                <w:szCs w:val="18"/>
              </w:rPr>
              <w:t>3+3+3产业发展履职效果</w:t>
            </w: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14:paraId="1964E0AF">
            <w:pPr>
              <w:widowControl/>
              <w:jc w:val="left"/>
              <w:textAlignment w:val="center"/>
              <w:rPr>
                <w:color w:val="000000"/>
                <w:kern w:val="0"/>
                <w:sz w:val="18"/>
                <w:szCs w:val="18"/>
              </w:rPr>
            </w:pPr>
          </w:p>
        </w:tc>
        <w:tc>
          <w:tcPr>
            <w:tcW w:w="1613" w:type="dxa"/>
            <w:vMerge w:val="continue"/>
            <w:tcBorders>
              <w:top w:val="single" w:color="000000" w:sz="4" w:space="0"/>
              <w:left w:val="single" w:color="000000" w:sz="4" w:space="0"/>
              <w:bottom w:val="nil"/>
              <w:right w:val="single" w:color="000000" w:sz="4" w:space="0"/>
            </w:tcBorders>
            <w:shd w:val="clear" w:color="auto" w:fill="auto"/>
            <w:vAlign w:val="center"/>
          </w:tcPr>
          <w:p w14:paraId="0A9CDC3B">
            <w:pPr>
              <w:widowControl/>
              <w:jc w:val="left"/>
              <w:textAlignment w:val="center"/>
              <w:rPr>
                <w:color w:val="000000"/>
                <w:kern w:val="0"/>
                <w:sz w:val="18"/>
                <w:szCs w:val="18"/>
              </w:rPr>
            </w:pPr>
          </w:p>
        </w:tc>
        <w:tc>
          <w:tcPr>
            <w:tcW w:w="3510" w:type="dxa"/>
            <w:vMerge w:val="continue"/>
            <w:tcBorders>
              <w:top w:val="single" w:color="000000" w:sz="4" w:space="0"/>
              <w:left w:val="single" w:color="000000" w:sz="4" w:space="0"/>
              <w:bottom w:val="nil"/>
              <w:right w:val="single" w:color="000000" w:sz="4" w:space="0"/>
            </w:tcBorders>
            <w:shd w:val="clear" w:color="auto" w:fill="auto"/>
            <w:vAlign w:val="center"/>
          </w:tcPr>
          <w:p w14:paraId="6209AAB7">
            <w:pPr>
              <w:widowControl/>
              <w:jc w:val="left"/>
              <w:textAlignment w:val="center"/>
              <w:rPr>
                <w:color w:val="000000"/>
                <w:kern w:val="0"/>
                <w:sz w:val="18"/>
                <w:szCs w:val="18"/>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2ED524FF">
            <w:pPr>
              <w:jc w:val="center"/>
              <w:rPr>
                <w:color w:val="000000"/>
                <w:sz w:val="24"/>
              </w:rPr>
            </w:pPr>
          </w:p>
        </w:tc>
        <w:tc>
          <w:tcPr>
            <w:tcW w:w="511" w:type="dxa"/>
            <w:vMerge w:val="continue"/>
            <w:tcBorders>
              <w:top w:val="single" w:color="000000" w:sz="4" w:space="0"/>
              <w:left w:val="single" w:color="000000" w:sz="4" w:space="0"/>
              <w:bottom w:val="nil"/>
              <w:right w:val="single" w:color="000000" w:sz="4" w:space="0"/>
            </w:tcBorders>
            <w:shd w:val="clear" w:color="auto" w:fill="auto"/>
            <w:vAlign w:val="center"/>
          </w:tcPr>
          <w:p w14:paraId="735BC48E">
            <w:pPr>
              <w:jc w:val="center"/>
              <w:rPr>
                <w:color w:val="000000"/>
                <w:sz w:val="24"/>
              </w:rPr>
            </w:pPr>
          </w:p>
        </w:tc>
      </w:tr>
      <w:tr w14:paraId="0D6A5EA6">
        <w:tblPrEx>
          <w:tblCellMar>
            <w:top w:w="0" w:type="dxa"/>
            <w:left w:w="108" w:type="dxa"/>
            <w:bottom w:w="0" w:type="dxa"/>
            <w:right w:w="108" w:type="dxa"/>
          </w:tblCellMar>
        </w:tblPrEx>
        <w:trPr>
          <w:trHeight w:val="92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093E">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29E78BB8">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BA30">
            <w:pPr>
              <w:widowControl/>
              <w:jc w:val="left"/>
              <w:textAlignment w:val="center"/>
              <w:rPr>
                <w:color w:val="000000"/>
                <w:kern w:val="0"/>
                <w:sz w:val="18"/>
                <w:szCs w:val="18"/>
              </w:rPr>
            </w:pPr>
            <w:r>
              <w:rPr>
                <w:color w:val="000000"/>
                <w:kern w:val="0"/>
                <w:sz w:val="18"/>
                <w:szCs w:val="18"/>
              </w:rPr>
              <w:t>经济运行履职效果</w:t>
            </w: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14:paraId="2E3C3935">
            <w:pPr>
              <w:widowControl/>
              <w:jc w:val="left"/>
              <w:textAlignment w:val="center"/>
              <w:rPr>
                <w:color w:val="000000"/>
                <w:kern w:val="0"/>
                <w:sz w:val="18"/>
                <w:szCs w:val="18"/>
              </w:rPr>
            </w:pPr>
          </w:p>
        </w:tc>
        <w:tc>
          <w:tcPr>
            <w:tcW w:w="1613" w:type="dxa"/>
            <w:vMerge w:val="continue"/>
            <w:tcBorders>
              <w:top w:val="single" w:color="000000" w:sz="4" w:space="0"/>
              <w:left w:val="single" w:color="000000" w:sz="4" w:space="0"/>
              <w:bottom w:val="nil"/>
              <w:right w:val="single" w:color="000000" w:sz="4" w:space="0"/>
            </w:tcBorders>
            <w:shd w:val="clear" w:color="auto" w:fill="auto"/>
            <w:vAlign w:val="center"/>
          </w:tcPr>
          <w:p w14:paraId="72612A97">
            <w:pPr>
              <w:widowControl/>
              <w:jc w:val="left"/>
              <w:textAlignment w:val="center"/>
              <w:rPr>
                <w:color w:val="000000"/>
                <w:kern w:val="0"/>
                <w:sz w:val="18"/>
                <w:szCs w:val="18"/>
              </w:rPr>
            </w:pPr>
          </w:p>
        </w:tc>
        <w:tc>
          <w:tcPr>
            <w:tcW w:w="3510" w:type="dxa"/>
            <w:vMerge w:val="continue"/>
            <w:tcBorders>
              <w:top w:val="single" w:color="000000" w:sz="4" w:space="0"/>
              <w:left w:val="single" w:color="000000" w:sz="4" w:space="0"/>
              <w:bottom w:val="nil"/>
              <w:right w:val="single" w:color="000000" w:sz="4" w:space="0"/>
            </w:tcBorders>
            <w:shd w:val="clear" w:color="auto" w:fill="auto"/>
            <w:vAlign w:val="center"/>
          </w:tcPr>
          <w:p w14:paraId="66BD300E">
            <w:pPr>
              <w:widowControl/>
              <w:jc w:val="left"/>
              <w:textAlignment w:val="center"/>
              <w:rPr>
                <w:color w:val="000000"/>
                <w:kern w:val="0"/>
                <w:sz w:val="18"/>
                <w:szCs w:val="18"/>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5EC73A39">
            <w:pPr>
              <w:jc w:val="center"/>
              <w:rPr>
                <w:color w:val="000000"/>
                <w:sz w:val="24"/>
              </w:rPr>
            </w:pPr>
          </w:p>
        </w:tc>
        <w:tc>
          <w:tcPr>
            <w:tcW w:w="511" w:type="dxa"/>
            <w:vMerge w:val="continue"/>
            <w:tcBorders>
              <w:top w:val="single" w:color="000000" w:sz="4" w:space="0"/>
              <w:left w:val="single" w:color="000000" w:sz="4" w:space="0"/>
              <w:bottom w:val="nil"/>
              <w:right w:val="single" w:color="000000" w:sz="4" w:space="0"/>
            </w:tcBorders>
            <w:shd w:val="clear" w:color="auto" w:fill="auto"/>
            <w:vAlign w:val="center"/>
          </w:tcPr>
          <w:p w14:paraId="4FBCC5E7">
            <w:pPr>
              <w:jc w:val="center"/>
              <w:rPr>
                <w:color w:val="000000"/>
                <w:sz w:val="24"/>
              </w:rPr>
            </w:pPr>
          </w:p>
        </w:tc>
      </w:tr>
      <w:tr w14:paraId="329F525E">
        <w:tblPrEx>
          <w:tblCellMar>
            <w:top w:w="0" w:type="dxa"/>
            <w:left w:w="108" w:type="dxa"/>
            <w:bottom w:w="0" w:type="dxa"/>
            <w:right w:w="108" w:type="dxa"/>
          </w:tblCellMar>
        </w:tblPrEx>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3B9F">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2637A20B">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CEF">
            <w:pPr>
              <w:widowControl/>
              <w:jc w:val="left"/>
              <w:textAlignment w:val="center"/>
              <w:rPr>
                <w:color w:val="000000"/>
                <w:kern w:val="0"/>
                <w:sz w:val="18"/>
                <w:szCs w:val="18"/>
              </w:rPr>
            </w:pPr>
            <w:r>
              <w:rPr>
                <w:color w:val="000000"/>
                <w:kern w:val="0"/>
                <w:sz w:val="18"/>
                <w:szCs w:val="18"/>
              </w:rPr>
              <w:t>民营经济和中小企业工作履职效果</w:t>
            </w:r>
          </w:p>
        </w:tc>
        <w:tc>
          <w:tcPr>
            <w:tcW w:w="546" w:type="dxa"/>
            <w:vMerge w:val="continue"/>
            <w:tcBorders>
              <w:top w:val="single" w:color="000000" w:sz="4" w:space="0"/>
              <w:left w:val="single" w:color="000000" w:sz="4" w:space="0"/>
              <w:bottom w:val="nil"/>
              <w:right w:val="single" w:color="000000" w:sz="4" w:space="0"/>
            </w:tcBorders>
            <w:shd w:val="clear" w:color="auto" w:fill="auto"/>
            <w:vAlign w:val="center"/>
          </w:tcPr>
          <w:p w14:paraId="0F6893CD">
            <w:pPr>
              <w:widowControl/>
              <w:jc w:val="left"/>
              <w:textAlignment w:val="center"/>
              <w:rPr>
                <w:color w:val="000000"/>
                <w:kern w:val="0"/>
                <w:sz w:val="18"/>
                <w:szCs w:val="18"/>
              </w:rPr>
            </w:pPr>
          </w:p>
        </w:tc>
        <w:tc>
          <w:tcPr>
            <w:tcW w:w="1613" w:type="dxa"/>
            <w:vMerge w:val="continue"/>
            <w:tcBorders>
              <w:top w:val="single" w:color="000000" w:sz="4" w:space="0"/>
              <w:left w:val="single" w:color="000000" w:sz="4" w:space="0"/>
              <w:bottom w:val="nil"/>
              <w:right w:val="single" w:color="000000" w:sz="4" w:space="0"/>
            </w:tcBorders>
            <w:shd w:val="clear" w:color="auto" w:fill="auto"/>
            <w:vAlign w:val="center"/>
          </w:tcPr>
          <w:p w14:paraId="6B810100">
            <w:pPr>
              <w:widowControl/>
              <w:jc w:val="left"/>
              <w:textAlignment w:val="center"/>
              <w:rPr>
                <w:color w:val="000000"/>
                <w:kern w:val="0"/>
                <w:sz w:val="18"/>
                <w:szCs w:val="18"/>
              </w:rPr>
            </w:pPr>
          </w:p>
        </w:tc>
        <w:tc>
          <w:tcPr>
            <w:tcW w:w="3510" w:type="dxa"/>
            <w:vMerge w:val="continue"/>
            <w:tcBorders>
              <w:top w:val="single" w:color="000000" w:sz="4" w:space="0"/>
              <w:left w:val="single" w:color="000000" w:sz="4" w:space="0"/>
              <w:bottom w:val="nil"/>
              <w:right w:val="single" w:color="000000" w:sz="4" w:space="0"/>
            </w:tcBorders>
            <w:shd w:val="clear" w:color="auto" w:fill="auto"/>
            <w:vAlign w:val="center"/>
          </w:tcPr>
          <w:p w14:paraId="7D07E05A">
            <w:pPr>
              <w:widowControl/>
              <w:jc w:val="left"/>
              <w:textAlignment w:val="center"/>
              <w:rPr>
                <w:color w:val="000000"/>
                <w:kern w:val="0"/>
                <w:sz w:val="18"/>
                <w:szCs w:val="18"/>
              </w:rPr>
            </w:pPr>
          </w:p>
        </w:tc>
        <w:tc>
          <w:tcPr>
            <w:tcW w:w="870" w:type="dxa"/>
            <w:vMerge w:val="continue"/>
            <w:tcBorders>
              <w:top w:val="single" w:color="000000" w:sz="4" w:space="0"/>
              <w:left w:val="single" w:color="000000" w:sz="4" w:space="0"/>
              <w:bottom w:val="nil"/>
              <w:right w:val="single" w:color="000000" w:sz="4" w:space="0"/>
            </w:tcBorders>
            <w:shd w:val="clear" w:color="auto" w:fill="auto"/>
            <w:vAlign w:val="center"/>
          </w:tcPr>
          <w:p w14:paraId="4533E01C">
            <w:pPr>
              <w:jc w:val="center"/>
              <w:rPr>
                <w:color w:val="000000"/>
                <w:sz w:val="24"/>
              </w:rPr>
            </w:pPr>
          </w:p>
        </w:tc>
        <w:tc>
          <w:tcPr>
            <w:tcW w:w="511" w:type="dxa"/>
            <w:vMerge w:val="continue"/>
            <w:tcBorders>
              <w:top w:val="single" w:color="000000" w:sz="4" w:space="0"/>
              <w:left w:val="single" w:color="000000" w:sz="4" w:space="0"/>
              <w:bottom w:val="nil"/>
              <w:right w:val="single" w:color="000000" w:sz="4" w:space="0"/>
            </w:tcBorders>
            <w:shd w:val="clear" w:color="auto" w:fill="auto"/>
            <w:vAlign w:val="center"/>
          </w:tcPr>
          <w:p w14:paraId="02407C0F">
            <w:pPr>
              <w:jc w:val="center"/>
              <w:rPr>
                <w:color w:val="000000"/>
                <w:sz w:val="24"/>
              </w:rPr>
            </w:pPr>
          </w:p>
        </w:tc>
      </w:tr>
      <w:tr w14:paraId="4F425FB8">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1884">
            <w:pPr>
              <w:jc w:val="center"/>
              <w:rPr>
                <w:b/>
                <w:bCs/>
                <w:color w:val="000000"/>
                <w:sz w:val="24"/>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ABFBF">
            <w:pPr>
              <w:widowControl/>
              <w:jc w:val="center"/>
              <w:textAlignment w:val="center"/>
              <w:rPr>
                <w:b/>
                <w:bCs/>
                <w:color w:val="000000"/>
                <w:sz w:val="24"/>
              </w:rPr>
            </w:pPr>
            <w:r>
              <w:rPr>
                <w:b/>
                <w:bCs/>
                <w:color w:val="000000"/>
                <w:kern w:val="0"/>
                <w:sz w:val="24"/>
              </w:rPr>
              <w:t>预算管理</w:t>
            </w:r>
            <w:r>
              <w:rPr>
                <w:b/>
                <w:bCs/>
                <w:color w:val="000000"/>
                <w:kern w:val="0"/>
                <w:sz w:val="24"/>
              </w:rPr>
              <w:br w:type="textWrapping"/>
            </w:r>
            <w:r>
              <w:rPr>
                <w:b/>
                <w:bCs/>
                <w:color w:val="000000"/>
                <w:kern w:val="0"/>
                <w:sz w:val="24"/>
              </w:rPr>
              <w:t>（31分）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D25">
            <w:pPr>
              <w:widowControl/>
              <w:jc w:val="left"/>
              <w:textAlignment w:val="center"/>
              <w:rPr>
                <w:color w:val="000000"/>
                <w:kern w:val="0"/>
                <w:sz w:val="18"/>
                <w:szCs w:val="18"/>
              </w:rPr>
            </w:pPr>
            <w:r>
              <w:rPr>
                <w:color w:val="000000"/>
                <w:kern w:val="0"/>
                <w:sz w:val="18"/>
                <w:szCs w:val="18"/>
              </w:rPr>
              <w:t>预算编制质量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DDFF">
            <w:pPr>
              <w:widowControl/>
              <w:jc w:val="left"/>
              <w:textAlignment w:val="center"/>
              <w:rPr>
                <w:color w:val="000000"/>
                <w:kern w:val="0"/>
                <w:sz w:val="18"/>
                <w:szCs w:val="18"/>
              </w:rPr>
            </w:pPr>
            <w:r>
              <w:rPr>
                <w:color w:val="000000"/>
                <w:kern w:val="0"/>
                <w:sz w:val="18"/>
                <w:szCs w:val="18"/>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410B">
            <w:pPr>
              <w:widowControl/>
              <w:jc w:val="left"/>
              <w:textAlignment w:val="center"/>
              <w:rPr>
                <w:color w:val="000000"/>
                <w:kern w:val="0"/>
                <w:sz w:val="18"/>
                <w:szCs w:val="18"/>
              </w:rPr>
            </w:pPr>
            <w:r>
              <w:rPr>
                <w:color w:val="000000"/>
                <w:kern w:val="0"/>
                <w:sz w:val="18"/>
                <w:szCs w:val="18"/>
              </w:rPr>
              <w:t>部门是否严格按要求编制年初部门预算，年初预算编制的科学性和准确性</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B958">
            <w:pPr>
              <w:widowControl/>
              <w:jc w:val="left"/>
              <w:textAlignment w:val="center"/>
              <w:rPr>
                <w:color w:val="000000"/>
                <w:kern w:val="0"/>
                <w:sz w:val="18"/>
                <w:szCs w:val="18"/>
              </w:rPr>
            </w:pPr>
            <w:r>
              <w:rPr>
                <w:color w:val="000000"/>
                <w:kern w:val="0"/>
                <w:sz w:val="18"/>
                <w:szCs w:val="18"/>
              </w:rPr>
              <w:t>该项指标得分=（1-财政拨款预算偏离度）×100%×8。偏离度=|预算执行数-调整预算数|÷调整预算数。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005C">
            <w:pPr>
              <w:widowControl/>
              <w:jc w:val="center"/>
              <w:textAlignment w:val="center"/>
              <w:rPr>
                <w:color w:val="000000"/>
                <w:sz w:val="24"/>
              </w:rPr>
            </w:pPr>
            <w:r>
              <w:rPr>
                <w:color w:val="000000"/>
                <w:kern w:val="0"/>
                <w:sz w:val="24"/>
              </w:rPr>
              <w:t>7.22</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BCBD1">
            <w:pPr>
              <w:jc w:val="center"/>
              <w:rPr>
                <w:color w:val="000000"/>
                <w:sz w:val="24"/>
              </w:rPr>
            </w:pPr>
          </w:p>
        </w:tc>
      </w:tr>
      <w:tr w14:paraId="514B0882">
        <w:tblPrEx>
          <w:tblCellMar>
            <w:top w:w="0" w:type="dxa"/>
            <w:left w:w="108" w:type="dxa"/>
            <w:bottom w:w="0" w:type="dxa"/>
            <w:right w:w="108" w:type="dxa"/>
          </w:tblCellMar>
        </w:tblPrEx>
        <w:trPr>
          <w:trHeight w:val="322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B1D2">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E3EE">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4D9E">
            <w:pPr>
              <w:widowControl/>
              <w:jc w:val="left"/>
              <w:textAlignment w:val="center"/>
              <w:rPr>
                <w:color w:val="000000"/>
                <w:kern w:val="0"/>
                <w:sz w:val="18"/>
                <w:szCs w:val="18"/>
              </w:rPr>
            </w:pPr>
            <w:r>
              <w:rPr>
                <w:color w:val="000000"/>
                <w:kern w:val="0"/>
                <w:sz w:val="18"/>
                <w:szCs w:val="18"/>
              </w:rPr>
              <w:t>支出执行进度</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D50E">
            <w:pPr>
              <w:widowControl/>
              <w:jc w:val="left"/>
              <w:textAlignment w:val="center"/>
              <w:rPr>
                <w:color w:val="000000"/>
                <w:kern w:val="0"/>
                <w:sz w:val="18"/>
                <w:szCs w:val="18"/>
              </w:rPr>
            </w:pPr>
            <w:r>
              <w:rPr>
                <w:color w:val="000000"/>
                <w:kern w:val="0"/>
                <w:sz w:val="18"/>
                <w:szCs w:val="18"/>
              </w:rPr>
              <w:t>9</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A23C">
            <w:pPr>
              <w:widowControl/>
              <w:jc w:val="left"/>
              <w:textAlignment w:val="center"/>
              <w:rPr>
                <w:color w:val="000000"/>
                <w:kern w:val="0"/>
                <w:sz w:val="18"/>
                <w:szCs w:val="18"/>
              </w:rPr>
            </w:pPr>
            <w:r>
              <w:rPr>
                <w:color w:val="000000"/>
                <w:kern w:val="0"/>
                <w:sz w:val="18"/>
                <w:szCs w:val="18"/>
              </w:rPr>
              <w:t>1至12月项目预算执行情况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C11">
            <w:pPr>
              <w:widowControl/>
              <w:jc w:val="left"/>
              <w:textAlignment w:val="center"/>
              <w:rPr>
                <w:color w:val="000000"/>
                <w:kern w:val="0"/>
                <w:sz w:val="18"/>
                <w:szCs w:val="18"/>
              </w:rPr>
            </w:pPr>
            <w:r>
              <w:rPr>
                <w:color w:val="000000"/>
                <w:kern w:val="0"/>
                <w:sz w:val="18"/>
                <w:szCs w:val="18"/>
              </w:rPr>
              <w:t>该项指标得分=中省转移支付资金实际支出数÷中省转移支付资金预算数*3+专项债券资金实际支出数÷专项债券资金预算数*3+专项预算项目实际支出数÷专项预算项目</w:t>
            </w:r>
            <w:r>
              <w:rPr>
                <w:rFonts w:hint="eastAsia"/>
                <w:color w:val="000000"/>
                <w:kern w:val="0"/>
                <w:sz w:val="18"/>
                <w:szCs w:val="18"/>
                <w:lang w:val="en-US" w:eastAsia="zh-CN"/>
              </w:rPr>
              <w:t>预</w:t>
            </w:r>
            <w:r>
              <w:rPr>
                <w:color w:val="000000"/>
                <w:kern w:val="0"/>
                <w:sz w:val="18"/>
                <w:szCs w:val="18"/>
              </w:rPr>
              <w:t>算数*3。（1、如果3项不涉及，纳入部门预算项目-特定目标类项目；2、如1-2项不涉及，可同比例分配至本指标其他计算内容）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6F50">
            <w:pPr>
              <w:widowControl/>
              <w:jc w:val="center"/>
              <w:textAlignment w:val="center"/>
              <w:rPr>
                <w:color w:val="000000"/>
                <w:sz w:val="24"/>
              </w:rPr>
            </w:pPr>
            <w:r>
              <w:rPr>
                <w:color w:val="000000"/>
                <w:kern w:val="0"/>
                <w:sz w:val="24"/>
              </w:rPr>
              <w:t>5</w:t>
            </w: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D403">
            <w:pPr>
              <w:jc w:val="center"/>
              <w:rPr>
                <w:color w:val="000000"/>
                <w:sz w:val="24"/>
              </w:rPr>
            </w:pPr>
          </w:p>
        </w:tc>
      </w:tr>
      <w:tr w14:paraId="7BD490C4">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3BB0">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BDFF">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D4DD">
            <w:pPr>
              <w:widowControl/>
              <w:jc w:val="left"/>
              <w:textAlignment w:val="center"/>
              <w:rPr>
                <w:color w:val="000000"/>
                <w:kern w:val="0"/>
                <w:sz w:val="18"/>
                <w:szCs w:val="18"/>
              </w:rPr>
            </w:pPr>
            <w:r>
              <w:rPr>
                <w:color w:val="000000"/>
                <w:kern w:val="0"/>
                <w:sz w:val="18"/>
                <w:szCs w:val="18"/>
              </w:rPr>
              <w:t>预算年终结余</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F862">
            <w:pPr>
              <w:widowControl/>
              <w:jc w:val="left"/>
              <w:textAlignment w:val="center"/>
              <w:rPr>
                <w:color w:val="000000"/>
                <w:kern w:val="0"/>
                <w:sz w:val="18"/>
                <w:szCs w:val="18"/>
              </w:rPr>
            </w:pPr>
            <w:r>
              <w:rPr>
                <w:color w:val="000000"/>
                <w:kern w:val="0"/>
                <w:sz w:val="18"/>
                <w:szCs w:val="18"/>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F246">
            <w:pPr>
              <w:widowControl/>
              <w:jc w:val="left"/>
              <w:textAlignment w:val="center"/>
              <w:rPr>
                <w:color w:val="000000"/>
                <w:kern w:val="0"/>
                <w:sz w:val="18"/>
                <w:szCs w:val="18"/>
              </w:rPr>
            </w:pPr>
            <w:r>
              <w:rPr>
                <w:color w:val="000000"/>
                <w:kern w:val="0"/>
                <w:sz w:val="18"/>
                <w:szCs w:val="18"/>
              </w:rPr>
              <w:t>部门整体年终预算结余情况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9FAB">
            <w:pPr>
              <w:widowControl/>
              <w:jc w:val="left"/>
              <w:textAlignment w:val="center"/>
              <w:rPr>
                <w:color w:val="000000"/>
                <w:kern w:val="0"/>
                <w:sz w:val="18"/>
                <w:szCs w:val="18"/>
              </w:rPr>
            </w:pPr>
            <w:r>
              <w:rPr>
                <w:color w:val="000000"/>
                <w:kern w:val="0"/>
                <w:sz w:val="18"/>
                <w:szCs w:val="18"/>
              </w:rPr>
              <w:t>该项指标得分=（1-部门整体预算结余率）×100%×8部门整体预算结余率为当年年终部门预算注销金额和结转金额占部门预算总金额的比率。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7F56">
            <w:pPr>
              <w:widowControl/>
              <w:jc w:val="center"/>
              <w:textAlignment w:val="center"/>
              <w:rPr>
                <w:color w:val="000000"/>
                <w:sz w:val="24"/>
              </w:rPr>
            </w:pPr>
            <w:r>
              <w:rPr>
                <w:color w:val="000000"/>
                <w:kern w:val="0"/>
                <w:sz w:val="24"/>
              </w:rPr>
              <w:t>7.22</w:t>
            </w: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1BAA">
            <w:pPr>
              <w:jc w:val="center"/>
              <w:rPr>
                <w:color w:val="000000"/>
                <w:sz w:val="24"/>
              </w:rPr>
            </w:pPr>
          </w:p>
        </w:tc>
      </w:tr>
      <w:tr w14:paraId="0FA02BEC">
        <w:tblPrEx>
          <w:tblCellMar>
            <w:top w:w="0" w:type="dxa"/>
            <w:left w:w="108" w:type="dxa"/>
            <w:bottom w:w="0" w:type="dxa"/>
            <w:right w:w="108" w:type="dxa"/>
          </w:tblCellMar>
        </w:tblPrEx>
        <w:trPr>
          <w:trHeight w:val="3686"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1FDF">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3342">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50C">
            <w:pPr>
              <w:widowControl/>
              <w:jc w:val="left"/>
              <w:textAlignment w:val="center"/>
              <w:rPr>
                <w:color w:val="000000"/>
                <w:kern w:val="0"/>
                <w:sz w:val="18"/>
                <w:szCs w:val="18"/>
              </w:rPr>
            </w:pPr>
            <w:r>
              <w:rPr>
                <w:color w:val="000000"/>
                <w:kern w:val="0"/>
                <w:sz w:val="18"/>
                <w:szCs w:val="18"/>
              </w:rPr>
              <w:t>严控一般性支出</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530">
            <w:pPr>
              <w:widowControl/>
              <w:jc w:val="left"/>
              <w:textAlignment w:val="center"/>
              <w:rPr>
                <w:color w:val="000000"/>
                <w:kern w:val="0"/>
                <w:sz w:val="18"/>
                <w:szCs w:val="18"/>
              </w:rPr>
            </w:pPr>
            <w:r>
              <w:rPr>
                <w:color w:val="000000"/>
                <w:kern w:val="0"/>
                <w:sz w:val="18"/>
                <w:szCs w:val="18"/>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EA8A">
            <w:pPr>
              <w:widowControl/>
              <w:jc w:val="left"/>
              <w:textAlignment w:val="center"/>
              <w:rPr>
                <w:color w:val="000000"/>
                <w:kern w:val="0"/>
                <w:sz w:val="18"/>
                <w:szCs w:val="18"/>
              </w:rPr>
            </w:pPr>
            <w:r>
              <w:rPr>
                <w:color w:val="000000"/>
                <w:kern w:val="0"/>
                <w:sz w:val="18"/>
                <w:szCs w:val="18"/>
              </w:rPr>
              <w:t>部门严控“三公”经费、会议、培训、差旅、办节办展、办公设备购置、信息网络及软件购置更新、课题经费等8项一般性支出情况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E60E">
            <w:pPr>
              <w:widowControl/>
              <w:jc w:val="left"/>
              <w:textAlignment w:val="center"/>
              <w:rPr>
                <w:color w:val="000000"/>
                <w:kern w:val="0"/>
                <w:sz w:val="18"/>
                <w:szCs w:val="18"/>
              </w:rPr>
            </w:pPr>
            <w:r>
              <w:rPr>
                <w:color w:val="000000"/>
                <w:kern w:val="0"/>
                <w:sz w:val="18"/>
                <w:szCs w:val="18"/>
              </w:rPr>
              <w:t>该项指标得分=基础分值+加分值。</w:t>
            </w:r>
            <w:r>
              <w:rPr>
                <w:color w:val="000000"/>
                <w:kern w:val="0"/>
                <w:sz w:val="18"/>
                <w:szCs w:val="18"/>
              </w:rPr>
              <w:br w:type="textWrapping"/>
            </w:r>
            <w:r>
              <w:rPr>
                <w:color w:val="000000"/>
                <w:kern w:val="0"/>
                <w:sz w:val="18"/>
                <w:szCs w:val="18"/>
              </w:rPr>
              <w:t>1.基础分值。一般性支出财政拨款年初预算较上年实现压减得1.5分；一般性支出财政拨款预算执行较上年实现压减得1.5分。</w:t>
            </w:r>
            <w:r>
              <w:rPr>
                <w:color w:val="000000"/>
                <w:kern w:val="0"/>
                <w:sz w:val="18"/>
                <w:szCs w:val="18"/>
              </w:rPr>
              <w:br w:type="textWrapping"/>
            </w:r>
            <w:r>
              <w:rPr>
                <w:color w:val="000000"/>
                <w:kern w:val="0"/>
                <w:sz w:val="18"/>
                <w:szCs w:val="18"/>
              </w:rPr>
              <w:t>2.加分值。一般性支出财政拨款年初预算较上年每压减1%得0.2分，累计不超过1分；一般性支出财政拨款预算执行较上年每压减1%得0.4分，累计不超过2分。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0203">
            <w:pPr>
              <w:widowControl/>
              <w:jc w:val="center"/>
              <w:textAlignment w:val="center"/>
              <w:rPr>
                <w:color w:val="000000"/>
                <w:sz w:val="24"/>
              </w:rPr>
            </w:pPr>
            <w:r>
              <w:rPr>
                <w:color w:val="000000"/>
                <w:kern w:val="0"/>
                <w:sz w:val="24"/>
              </w:rPr>
              <w:t>6</w:t>
            </w: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FE08B">
            <w:pPr>
              <w:jc w:val="center"/>
              <w:rPr>
                <w:color w:val="000000"/>
                <w:sz w:val="24"/>
              </w:rPr>
            </w:pPr>
          </w:p>
        </w:tc>
      </w:tr>
      <w:tr w14:paraId="32B61D64">
        <w:tblPrEx>
          <w:tblCellMar>
            <w:top w:w="0" w:type="dxa"/>
            <w:left w:w="108" w:type="dxa"/>
            <w:bottom w:w="0" w:type="dxa"/>
            <w:right w:w="108" w:type="dxa"/>
          </w:tblCellMar>
        </w:tblPrEx>
        <w:trPr>
          <w:trHeight w:val="4146"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9F1F">
            <w:pPr>
              <w:jc w:val="center"/>
              <w:rPr>
                <w:b/>
                <w:bCs/>
                <w:color w:val="000000"/>
                <w:sz w:val="24"/>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383E5">
            <w:pPr>
              <w:widowControl/>
              <w:jc w:val="center"/>
              <w:textAlignment w:val="center"/>
              <w:rPr>
                <w:b/>
                <w:bCs/>
                <w:color w:val="000000"/>
                <w:sz w:val="24"/>
              </w:rPr>
            </w:pPr>
            <w:r>
              <w:rPr>
                <w:b/>
                <w:bCs/>
                <w:color w:val="000000"/>
                <w:kern w:val="0"/>
                <w:sz w:val="24"/>
              </w:rPr>
              <w:t>资产管理</w:t>
            </w:r>
            <w:r>
              <w:rPr>
                <w:b/>
                <w:bCs/>
                <w:color w:val="000000"/>
                <w:kern w:val="0"/>
                <w:sz w:val="24"/>
              </w:rPr>
              <w:br w:type="textWrapping"/>
            </w:r>
            <w:r>
              <w:rPr>
                <w:b/>
                <w:bCs/>
                <w:color w:val="000000"/>
                <w:kern w:val="0"/>
                <w:sz w:val="24"/>
              </w:rPr>
              <w:t>（6分）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6D4">
            <w:pPr>
              <w:widowControl/>
              <w:jc w:val="left"/>
              <w:textAlignment w:val="center"/>
              <w:rPr>
                <w:color w:val="000000"/>
                <w:kern w:val="0"/>
                <w:sz w:val="18"/>
                <w:szCs w:val="18"/>
              </w:rPr>
            </w:pPr>
            <w:r>
              <w:rPr>
                <w:color w:val="000000"/>
                <w:kern w:val="0"/>
                <w:sz w:val="18"/>
                <w:szCs w:val="18"/>
              </w:rPr>
              <w:t>人均资产变化率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642C">
            <w:pPr>
              <w:widowControl/>
              <w:jc w:val="left"/>
              <w:textAlignment w:val="center"/>
              <w:rPr>
                <w:color w:val="000000"/>
                <w:kern w:val="0"/>
                <w:sz w:val="18"/>
                <w:szCs w:val="18"/>
              </w:rPr>
            </w:pPr>
            <w:r>
              <w:rPr>
                <w:color w:val="000000"/>
                <w:kern w:val="0"/>
                <w:sz w:val="18"/>
                <w:szCs w:val="18"/>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E890">
            <w:pPr>
              <w:widowControl/>
              <w:jc w:val="left"/>
              <w:textAlignment w:val="center"/>
              <w:rPr>
                <w:color w:val="000000"/>
                <w:kern w:val="0"/>
                <w:sz w:val="18"/>
                <w:szCs w:val="18"/>
              </w:rPr>
            </w:pPr>
            <w:r>
              <w:rPr>
                <w:color w:val="000000"/>
                <w:kern w:val="0"/>
                <w:sz w:val="18"/>
                <w:szCs w:val="18"/>
              </w:rPr>
              <w:t>部门人均资产变化情况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5434">
            <w:pPr>
              <w:widowControl/>
              <w:jc w:val="left"/>
              <w:textAlignment w:val="center"/>
              <w:rPr>
                <w:color w:val="000000"/>
                <w:kern w:val="0"/>
                <w:sz w:val="18"/>
                <w:szCs w:val="18"/>
              </w:rPr>
            </w:pPr>
            <w:r>
              <w:rPr>
                <w:color w:val="000000"/>
                <w:kern w:val="0"/>
                <w:sz w:val="18"/>
                <w:szCs w:val="18"/>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B23">
            <w:pPr>
              <w:widowControl/>
              <w:jc w:val="center"/>
              <w:textAlignment w:val="center"/>
              <w:rPr>
                <w:color w:val="000000"/>
                <w:sz w:val="24"/>
              </w:rPr>
            </w:pPr>
            <w:r>
              <w:rPr>
                <w:color w:val="000000"/>
                <w:kern w:val="0"/>
                <w:sz w:val="24"/>
              </w:rPr>
              <w:t>3</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515E">
            <w:pPr>
              <w:jc w:val="center"/>
              <w:rPr>
                <w:color w:val="000000"/>
                <w:sz w:val="24"/>
              </w:rPr>
            </w:pPr>
          </w:p>
        </w:tc>
      </w:tr>
      <w:tr w14:paraId="79B8427C">
        <w:trPr>
          <w:trHeight w:val="184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6E50">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9278">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B24">
            <w:pPr>
              <w:widowControl/>
              <w:jc w:val="left"/>
              <w:textAlignment w:val="center"/>
              <w:rPr>
                <w:color w:val="000000"/>
                <w:kern w:val="0"/>
                <w:sz w:val="18"/>
                <w:szCs w:val="18"/>
              </w:rPr>
            </w:pPr>
            <w:r>
              <w:rPr>
                <w:color w:val="000000"/>
                <w:kern w:val="0"/>
                <w:sz w:val="18"/>
                <w:szCs w:val="18"/>
              </w:rPr>
              <w:t>资产利用率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1597">
            <w:pPr>
              <w:widowControl/>
              <w:jc w:val="left"/>
              <w:textAlignment w:val="center"/>
              <w:rPr>
                <w:color w:val="000000"/>
                <w:kern w:val="0"/>
                <w:sz w:val="18"/>
                <w:szCs w:val="18"/>
              </w:rPr>
            </w:pPr>
            <w:r>
              <w:rPr>
                <w:color w:val="000000"/>
                <w:kern w:val="0"/>
                <w:sz w:val="18"/>
                <w:szCs w:val="18"/>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1991">
            <w:pPr>
              <w:widowControl/>
              <w:jc w:val="left"/>
              <w:textAlignment w:val="center"/>
              <w:rPr>
                <w:color w:val="000000"/>
                <w:kern w:val="0"/>
                <w:sz w:val="18"/>
                <w:szCs w:val="18"/>
              </w:rPr>
            </w:pPr>
            <w:r>
              <w:rPr>
                <w:color w:val="000000"/>
                <w:kern w:val="0"/>
                <w:sz w:val="18"/>
                <w:szCs w:val="18"/>
              </w:rPr>
              <w:t>部门资产超最低使用年限情况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4AE4">
            <w:pPr>
              <w:widowControl/>
              <w:jc w:val="left"/>
              <w:textAlignment w:val="center"/>
              <w:rPr>
                <w:color w:val="000000"/>
                <w:kern w:val="0"/>
                <w:sz w:val="18"/>
                <w:szCs w:val="18"/>
              </w:rPr>
            </w:pPr>
            <w:r>
              <w:rPr>
                <w:color w:val="000000"/>
                <w:kern w:val="0"/>
                <w:sz w:val="18"/>
                <w:szCs w:val="18"/>
              </w:rPr>
              <w:t>该项指标得分=（超最低使用年限的办公家具账面原值÷办公家具账面原值×100%×1.5）+（超最低使用年限的办公设备账面原值÷办公设备账面原值×100%×1.5）。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ADE0">
            <w:pPr>
              <w:widowControl/>
              <w:jc w:val="center"/>
              <w:textAlignment w:val="center"/>
              <w:rPr>
                <w:color w:val="000000"/>
                <w:sz w:val="24"/>
              </w:rPr>
            </w:pPr>
            <w:r>
              <w:rPr>
                <w:color w:val="000000"/>
                <w:kern w:val="0"/>
                <w:sz w:val="24"/>
              </w:rPr>
              <w:t>2.27</w:t>
            </w: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1F5A">
            <w:pPr>
              <w:jc w:val="center"/>
              <w:rPr>
                <w:color w:val="000000"/>
                <w:sz w:val="24"/>
              </w:rPr>
            </w:pPr>
          </w:p>
        </w:tc>
      </w:tr>
      <w:tr w14:paraId="6CA7C6F7">
        <w:trPr>
          <w:trHeight w:val="3227"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6800A">
            <w:pPr>
              <w:widowControl/>
              <w:jc w:val="center"/>
              <w:textAlignment w:val="center"/>
              <w:rPr>
                <w:b/>
                <w:bCs/>
                <w:color w:val="000000"/>
                <w:sz w:val="24"/>
              </w:rPr>
            </w:pPr>
            <w:r>
              <w:rPr>
                <w:b/>
                <w:bCs/>
                <w:color w:val="000000"/>
                <w:kern w:val="0"/>
                <w:sz w:val="24"/>
              </w:rPr>
              <w:t>总体绩效</w:t>
            </w:r>
            <w:r>
              <w:rPr>
                <w:b/>
                <w:bCs/>
                <w:color w:val="000000"/>
                <w:kern w:val="0"/>
                <w:sz w:val="24"/>
              </w:rPr>
              <w:br w:type="textWrapping"/>
            </w:r>
            <w:r>
              <w:rPr>
                <w:b/>
                <w:bCs/>
                <w:color w:val="000000"/>
                <w:kern w:val="0"/>
                <w:sz w:val="24"/>
              </w:rPr>
              <w:t>（65分）</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F6B6">
            <w:pPr>
              <w:widowControl/>
              <w:jc w:val="center"/>
              <w:textAlignment w:val="center"/>
              <w:rPr>
                <w:b/>
                <w:bCs/>
                <w:color w:val="000000"/>
                <w:sz w:val="24"/>
              </w:rPr>
            </w:pPr>
            <w:r>
              <w:rPr>
                <w:b/>
                <w:bCs/>
                <w:color w:val="000000"/>
                <w:kern w:val="0"/>
                <w:sz w:val="24"/>
              </w:rPr>
              <w:t>资产管理</w:t>
            </w:r>
            <w:r>
              <w:rPr>
                <w:b/>
                <w:bCs/>
                <w:color w:val="000000"/>
                <w:kern w:val="0"/>
                <w:sz w:val="24"/>
              </w:rPr>
              <w:br w:type="textWrapping"/>
            </w:r>
            <w:r>
              <w:rPr>
                <w:b/>
                <w:bCs/>
                <w:color w:val="000000"/>
                <w:kern w:val="0"/>
                <w:sz w:val="24"/>
              </w:rPr>
              <w:t>（3分）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4C8E">
            <w:pPr>
              <w:widowControl/>
              <w:jc w:val="left"/>
              <w:textAlignment w:val="center"/>
              <w:rPr>
                <w:color w:val="000000"/>
                <w:kern w:val="0"/>
                <w:sz w:val="18"/>
                <w:szCs w:val="18"/>
              </w:rPr>
            </w:pPr>
            <w:r>
              <w:rPr>
                <w:color w:val="000000"/>
                <w:kern w:val="0"/>
                <w:sz w:val="18"/>
                <w:szCs w:val="18"/>
              </w:rPr>
              <w:t>资产盘活率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939B">
            <w:pPr>
              <w:widowControl/>
              <w:jc w:val="left"/>
              <w:textAlignment w:val="center"/>
              <w:rPr>
                <w:color w:val="000000"/>
                <w:kern w:val="0"/>
                <w:sz w:val="18"/>
                <w:szCs w:val="18"/>
              </w:rPr>
            </w:pPr>
            <w:r>
              <w:rPr>
                <w:color w:val="000000"/>
                <w:kern w:val="0"/>
                <w:sz w:val="18"/>
                <w:szCs w:val="18"/>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342B">
            <w:pPr>
              <w:widowControl/>
              <w:jc w:val="left"/>
              <w:textAlignment w:val="center"/>
              <w:rPr>
                <w:color w:val="000000"/>
                <w:kern w:val="0"/>
                <w:sz w:val="18"/>
                <w:szCs w:val="18"/>
              </w:rPr>
            </w:pPr>
            <w:r>
              <w:rPr>
                <w:color w:val="000000"/>
                <w:kern w:val="0"/>
                <w:sz w:val="18"/>
                <w:szCs w:val="18"/>
              </w:rPr>
              <w:t>部门闲置一年以上的资产盘活情况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6F0F">
            <w:pPr>
              <w:widowControl/>
              <w:jc w:val="left"/>
              <w:textAlignment w:val="center"/>
              <w:rPr>
                <w:color w:val="000000"/>
                <w:kern w:val="0"/>
                <w:sz w:val="18"/>
                <w:szCs w:val="18"/>
              </w:rPr>
            </w:pPr>
            <w:r>
              <w:rPr>
                <w:color w:val="000000"/>
                <w:kern w:val="0"/>
                <w:sz w:val="18"/>
                <w:szCs w:val="18"/>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DEFD">
            <w:pPr>
              <w:widowControl/>
              <w:jc w:val="center"/>
              <w:textAlignment w:val="center"/>
              <w:rPr>
                <w:color w:val="000000"/>
                <w:sz w:val="24"/>
              </w:rPr>
            </w:pPr>
            <w:r>
              <w:rPr>
                <w:color w:val="000000"/>
                <w:kern w:val="0"/>
                <w:sz w:val="24"/>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B19">
            <w:pPr>
              <w:jc w:val="center"/>
              <w:rPr>
                <w:color w:val="000000"/>
                <w:sz w:val="24"/>
              </w:rPr>
            </w:pPr>
          </w:p>
        </w:tc>
      </w:tr>
      <w:tr w14:paraId="54D5BA2B">
        <w:tblPrEx>
          <w:tblCellMar>
            <w:top w:w="0" w:type="dxa"/>
            <w:left w:w="108" w:type="dxa"/>
            <w:bottom w:w="0" w:type="dxa"/>
            <w:right w:w="108" w:type="dxa"/>
          </w:tblCellMar>
        </w:tblPrEx>
        <w:trPr>
          <w:trHeight w:val="85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F192">
            <w:pPr>
              <w:jc w:val="center"/>
              <w:rPr>
                <w:b/>
                <w:bCs/>
                <w:color w:val="000000"/>
                <w:sz w:val="24"/>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C9A50">
            <w:pPr>
              <w:widowControl/>
              <w:jc w:val="center"/>
              <w:textAlignment w:val="center"/>
              <w:rPr>
                <w:b/>
                <w:bCs/>
                <w:color w:val="000000"/>
                <w:sz w:val="24"/>
              </w:rPr>
            </w:pPr>
            <w:r>
              <w:rPr>
                <w:b/>
                <w:bCs/>
                <w:color w:val="000000"/>
                <w:kern w:val="0"/>
                <w:sz w:val="24"/>
              </w:rPr>
              <w:t>采购管理</w:t>
            </w:r>
            <w:r>
              <w:rPr>
                <w:b/>
                <w:bCs/>
                <w:color w:val="000000"/>
                <w:kern w:val="0"/>
                <w:sz w:val="24"/>
              </w:rPr>
              <w:br w:type="textWrapping"/>
            </w:r>
            <w:r>
              <w:rPr>
                <w:b/>
                <w:bCs/>
                <w:color w:val="000000"/>
                <w:kern w:val="0"/>
                <w:sz w:val="24"/>
              </w:rPr>
              <w:t>（6分）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ADE">
            <w:pPr>
              <w:widowControl/>
              <w:jc w:val="left"/>
              <w:textAlignment w:val="center"/>
              <w:rPr>
                <w:color w:val="000000"/>
                <w:kern w:val="0"/>
                <w:sz w:val="18"/>
                <w:szCs w:val="18"/>
              </w:rPr>
            </w:pPr>
            <w:r>
              <w:rPr>
                <w:color w:val="000000"/>
                <w:kern w:val="0"/>
                <w:sz w:val="18"/>
                <w:szCs w:val="18"/>
              </w:rPr>
              <w:t>支持中小企业发展</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BD69">
            <w:pPr>
              <w:widowControl/>
              <w:jc w:val="left"/>
              <w:textAlignment w:val="center"/>
              <w:rPr>
                <w:color w:val="000000"/>
                <w:kern w:val="0"/>
                <w:sz w:val="18"/>
                <w:szCs w:val="18"/>
              </w:rPr>
            </w:pPr>
            <w:r>
              <w:rPr>
                <w:color w:val="000000"/>
                <w:kern w:val="0"/>
                <w:sz w:val="18"/>
                <w:szCs w:val="18"/>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7CE">
            <w:pPr>
              <w:widowControl/>
              <w:jc w:val="left"/>
              <w:textAlignment w:val="center"/>
              <w:rPr>
                <w:color w:val="000000"/>
                <w:kern w:val="0"/>
                <w:sz w:val="18"/>
                <w:szCs w:val="18"/>
              </w:rPr>
            </w:pPr>
            <w:r>
              <w:rPr>
                <w:color w:val="000000"/>
                <w:kern w:val="0"/>
                <w:sz w:val="18"/>
                <w:szCs w:val="18"/>
              </w:rPr>
              <w:t>部门是否严格执行政府采购促进中小企业发展相关管理办法</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FF19">
            <w:pPr>
              <w:widowControl/>
              <w:jc w:val="left"/>
              <w:textAlignment w:val="center"/>
              <w:rPr>
                <w:color w:val="000000"/>
                <w:kern w:val="0"/>
                <w:sz w:val="18"/>
                <w:szCs w:val="18"/>
              </w:rPr>
            </w:pPr>
            <w:r>
              <w:rPr>
                <w:color w:val="000000"/>
                <w:kern w:val="0"/>
                <w:sz w:val="18"/>
                <w:szCs w:val="18"/>
              </w:rPr>
              <w:t>对适宜由中小企业提供的采购项目和采购包，预留采购份额专门面向中小企业采购，并在采购预算中单独列示，不符合要求的扣3分。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F3AB">
            <w:pPr>
              <w:widowControl/>
              <w:jc w:val="center"/>
              <w:textAlignment w:val="center"/>
              <w:rPr>
                <w:color w:val="000000"/>
                <w:sz w:val="24"/>
              </w:rPr>
            </w:pPr>
            <w:r>
              <w:rPr>
                <w:color w:val="000000"/>
                <w:kern w:val="0"/>
                <w:sz w:val="24"/>
              </w:rPr>
              <w:t>3</w:t>
            </w:r>
          </w:p>
        </w:tc>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B0BED">
            <w:pPr>
              <w:jc w:val="center"/>
              <w:rPr>
                <w:color w:val="000000"/>
                <w:sz w:val="24"/>
              </w:rPr>
            </w:pPr>
          </w:p>
        </w:tc>
      </w:tr>
      <w:tr w14:paraId="5BD15CF5">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E331">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BCBE7">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A0D">
            <w:pPr>
              <w:widowControl/>
              <w:jc w:val="left"/>
              <w:textAlignment w:val="center"/>
              <w:rPr>
                <w:color w:val="000000"/>
                <w:kern w:val="0"/>
                <w:sz w:val="18"/>
                <w:szCs w:val="18"/>
              </w:rPr>
            </w:pPr>
            <w:r>
              <w:rPr>
                <w:color w:val="000000"/>
                <w:kern w:val="0"/>
                <w:sz w:val="18"/>
                <w:szCs w:val="18"/>
              </w:rPr>
              <w:t>采购执行率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F57">
            <w:pPr>
              <w:widowControl/>
              <w:jc w:val="left"/>
              <w:textAlignment w:val="center"/>
              <w:rPr>
                <w:color w:val="000000"/>
                <w:kern w:val="0"/>
                <w:sz w:val="18"/>
                <w:szCs w:val="18"/>
              </w:rPr>
            </w:pPr>
            <w:r>
              <w:rPr>
                <w:color w:val="000000"/>
                <w:kern w:val="0"/>
                <w:sz w:val="18"/>
                <w:szCs w:val="18"/>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10E6">
            <w:pPr>
              <w:widowControl/>
              <w:jc w:val="left"/>
              <w:textAlignment w:val="center"/>
              <w:rPr>
                <w:color w:val="000000"/>
                <w:kern w:val="0"/>
                <w:sz w:val="18"/>
                <w:szCs w:val="18"/>
              </w:rPr>
            </w:pPr>
            <w:r>
              <w:rPr>
                <w:color w:val="000000"/>
                <w:kern w:val="0"/>
                <w:sz w:val="18"/>
                <w:szCs w:val="18"/>
              </w:rPr>
              <w:t>部门政府采购项目资金支付比例情况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A86">
            <w:pPr>
              <w:widowControl/>
              <w:jc w:val="left"/>
              <w:textAlignment w:val="center"/>
              <w:rPr>
                <w:color w:val="000000"/>
                <w:kern w:val="0"/>
                <w:sz w:val="18"/>
                <w:szCs w:val="18"/>
              </w:rPr>
            </w:pPr>
            <w:r>
              <w:rPr>
                <w:color w:val="000000"/>
                <w:kern w:val="0"/>
                <w:sz w:val="18"/>
                <w:szCs w:val="18"/>
              </w:rPr>
              <w:t>该项指标得分=当年政府采购实际支付总金额÷（当年政府采购总预算数-当年已完成采购项目节约金额）×100%×3。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732E">
            <w:pPr>
              <w:widowControl/>
              <w:jc w:val="center"/>
              <w:textAlignment w:val="center"/>
              <w:rPr>
                <w:color w:val="000000"/>
                <w:sz w:val="24"/>
              </w:rPr>
            </w:pPr>
            <w:r>
              <w:rPr>
                <w:color w:val="000000"/>
                <w:kern w:val="0"/>
                <w:sz w:val="24"/>
              </w:rPr>
              <w:t>3</w:t>
            </w:r>
          </w:p>
        </w:tc>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8BA25">
            <w:pPr>
              <w:jc w:val="center"/>
              <w:rPr>
                <w:color w:val="000000"/>
                <w:sz w:val="24"/>
              </w:rPr>
            </w:pPr>
          </w:p>
        </w:tc>
      </w:tr>
      <w:tr w14:paraId="7F49B6CD">
        <w:tblPrEx>
          <w:tblCellMar>
            <w:top w:w="0" w:type="dxa"/>
            <w:left w:w="108" w:type="dxa"/>
            <w:bottom w:w="0" w:type="dxa"/>
            <w:right w:w="108" w:type="dxa"/>
          </w:tblCellMar>
        </w:tblPrEx>
        <w:trPr>
          <w:trHeight w:val="3686"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06203">
            <w:pPr>
              <w:widowControl/>
              <w:jc w:val="center"/>
              <w:textAlignment w:val="center"/>
              <w:rPr>
                <w:b/>
                <w:bCs/>
                <w:color w:val="000000"/>
                <w:sz w:val="24"/>
              </w:rPr>
            </w:pPr>
            <w:r>
              <w:rPr>
                <w:b/>
                <w:bCs/>
                <w:color w:val="000000"/>
                <w:kern w:val="0"/>
                <w:sz w:val="24"/>
              </w:rPr>
              <w:t>项目绩效</w:t>
            </w:r>
            <w:r>
              <w:rPr>
                <w:b/>
                <w:bCs/>
                <w:color w:val="000000"/>
                <w:kern w:val="0"/>
                <w:sz w:val="24"/>
              </w:rPr>
              <w:br w:type="textWrapping"/>
            </w:r>
            <w:r>
              <w:rPr>
                <w:b/>
                <w:bCs/>
                <w:color w:val="000000"/>
                <w:kern w:val="0"/>
                <w:sz w:val="24"/>
              </w:rPr>
              <w:t>（35分）</w:t>
            </w:r>
          </w:p>
        </w:tc>
        <w:tc>
          <w:tcPr>
            <w:tcW w:w="699" w:type="dxa"/>
            <w:vMerge w:val="restart"/>
            <w:tcBorders>
              <w:top w:val="single" w:color="000000" w:sz="4" w:space="0"/>
              <w:left w:val="single" w:color="000000" w:sz="4" w:space="0"/>
              <w:bottom w:val="nil"/>
              <w:right w:val="single" w:color="000000" w:sz="4" w:space="0"/>
            </w:tcBorders>
            <w:shd w:val="clear" w:color="auto" w:fill="auto"/>
            <w:vAlign w:val="center"/>
          </w:tcPr>
          <w:p w14:paraId="4A4E6A25">
            <w:pPr>
              <w:widowControl/>
              <w:jc w:val="center"/>
              <w:textAlignment w:val="center"/>
              <w:rPr>
                <w:b/>
                <w:bCs/>
                <w:color w:val="000000"/>
                <w:sz w:val="24"/>
              </w:rPr>
            </w:pPr>
            <w:r>
              <w:rPr>
                <w:b/>
                <w:bCs/>
                <w:color w:val="000000"/>
                <w:kern w:val="0"/>
                <w:sz w:val="24"/>
              </w:rPr>
              <w:t>项目决策</w:t>
            </w:r>
            <w:r>
              <w:rPr>
                <w:b/>
                <w:bCs/>
                <w:color w:val="000000"/>
                <w:kern w:val="0"/>
                <w:sz w:val="24"/>
              </w:rPr>
              <w:br w:type="textWrapping"/>
            </w:r>
            <w:r>
              <w:rPr>
                <w:b/>
                <w:bCs/>
                <w:color w:val="000000"/>
                <w:kern w:val="0"/>
                <w:sz w:val="24"/>
              </w:rPr>
              <w:t>（12分）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0FDC">
            <w:pPr>
              <w:widowControl/>
              <w:jc w:val="left"/>
              <w:textAlignment w:val="center"/>
              <w:rPr>
                <w:color w:val="000000"/>
                <w:kern w:val="0"/>
                <w:sz w:val="18"/>
                <w:szCs w:val="18"/>
              </w:rPr>
            </w:pPr>
            <w:r>
              <w:rPr>
                <w:color w:val="000000"/>
                <w:kern w:val="0"/>
                <w:sz w:val="18"/>
                <w:szCs w:val="18"/>
              </w:rPr>
              <w:t>决策程序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E03">
            <w:pPr>
              <w:widowControl/>
              <w:jc w:val="left"/>
              <w:textAlignment w:val="center"/>
              <w:rPr>
                <w:color w:val="000000"/>
                <w:kern w:val="0"/>
                <w:sz w:val="18"/>
                <w:szCs w:val="18"/>
              </w:rPr>
            </w:pPr>
            <w:r>
              <w:rPr>
                <w:color w:val="000000"/>
                <w:kern w:val="0"/>
                <w:sz w:val="18"/>
                <w:szCs w:val="18"/>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0E5">
            <w:pPr>
              <w:widowControl/>
              <w:jc w:val="left"/>
              <w:textAlignment w:val="center"/>
              <w:rPr>
                <w:color w:val="000000"/>
                <w:kern w:val="0"/>
                <w:sz w:val="18"/>
                <w:szCs w:val="18"/>
              </w:rPr>
            </w:pPr>
            <w:r>
              <w:rPr>
                <w:color w:val="000000"/>
                <w:kern w:val="0"/>
                <w:sz w:val="18"/>
                <w:szCs w:val="18"/>
              </w:rPr>
              <w:t>部门预算项目设立是否按规定履行评估论证、申报程序</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2A30">
            <w:pPr>
              <w:widowControl/>
              <w:jc w:val="left"/>
              <w:textAlignment w:val="center"/>
              <w:rPr>
                <w:color w:val="000000"/>
                <w:kern w:val="0"/>
                <w:sz w:val="18"/>
                <w:szCs w:val="18"/>
              </w:rPr>
            </w:pPr>
            <w:r>
              <w:rPr>
                <w:color w:val="000000"/>
                <w:kern w:val="0"/>
                <w:sz w:val="18"/>
                <w:szCs w:val="18"/>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C5E0">
            <w:pPr>
              <w:widowControl/>
              <w:jc w:val="center"/>
              <w:textAlignment w:val="center"/>
              <w:rPr>
                <w:color w:val="000000"/>
                <w:sz w:val="24"/>
              </w:rPr>
            </w:pPr>
            <w:r>
              <w:rPr>
                <w:color w:val="000000"/>
                <w:kern w:val="0"/>
                <w:sz w:val="24"/>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324">
            <w:pPr>
              <w:jc w:val="center"/>
              <w:rPr>
                <w:color w:val="000000"/>
                <w:sz w:val="24"/>
              </w:rPr>
            </w:pPr>
          </w:p>
        </w:tc>
      </w:tr>
      <w:tr w14:paraId="5B20C6C5">
        <w:tblPrEx>
          <w:tblCellMar>
            <w:top w:w="0" w:type="dxa"/>
            <w:left w:w="108" w:type="dxa"/>
            <w:bottom w:w="0" w:type="dxa"/>
            <w:right w:w="108" w:type="dxa"/>
          </w:tblCellMar>
        </w:tblPrEx>
        <w:trPr>
          <w:trHeight w:val="276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D7AF">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1F44C19E">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023A">
            <w:pPr>
              <w:widowControl/>
              <w:jc w:val="left"/>
              <w:textAlignment w:val="center"/>
              <w:rPr>
                <w:color w:val="000000"/>
                <w:kern w:val="0"/>
                <w:sz w:val="18"/>
                <w:szCs w:val="18"/>
              </w:rPr>
            </w:pPr>
            <w:r>
              <w:rPr>
                <w:color w:val="000000"/>
                <w:kern w:val="0"/>
                <w:sz w:val="18"/>
                <w:szCs w:val="18"/>
              </w:rPr>
              <w:t>目标设置</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C33">
            <w:pPr>
              <w:widowControl/>
              <w:jc w:val="left"/>
              <w:textAlignment w:val="center"/>
              <w:rPr>
                <w:color w:val="000000"/>
                <w:kern w:val="0"/>
                <w:sz w:val="18"/>
                <w:szCs w:val="18"/>
              </w:rPr>
            </w:pPr>
            <w:r>
              <w:rPr>
                <w:color w:val="000000"/>
                <w:kern w:val="0"/>
                <w:sz w:val="18"/>
                <w:szCs w:val="18"/>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EB23">
            <w:pPr>
              <w:widowControl/>
              <w:jc w:val="left"/>
              <w:textAlignment w:val="center"/>
              <w:rPr>
                <w:color w:val="000000"/>
                <w:kern w:val="0"/>
                <w:sz w:val="18"/>
                <w:szCs w:val="18"/>
              </w:rPr>
            </w:pPr>
            <w:r>
              <w:rPr>
                <w:color w:val="000000"/>
                <w:kern w:val="0"/>
                <w:sz w:val="18"/>
                <w:szCs w:val="18"/>
              </w:rPr>
              <w:t>部门预算项目绩效目标与计划期内的任务量、预算安排的资金量匹配情况，绩效目标设置是否科学合理、规范完整、量化细化、预算匹配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085D">
            <w:pPr>
              <w:widowControl/>
              <w:jc w:val="left"/>
              <w:textAlignment w:val="center"/>
              <w:rPr>
                <w:color w:val="000000"/>
                <w:kern w:val="0"/>
                <w:sz w:val="18"/>
                <w:szCs w:val="18"/>
              </w:rPr>
            </w:pPr>
            <w:r>
              <w:rPr>
                <w:color w:val="000000"/>
                <w:kern w:val="0"/>
                <w:sz w:val="18"/>
                <w:szCs w:val="18"/>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8EDD">
            <w:pPr>
              <w:widowControl/>
              <w:jc w:val="center"/>
              <w:textAlignment w:val="center"/>
              <w:rPr>
                <w:color w:val="000000"/>
                <w:sz w:val="24"/>
              </w:rPr>
            </w:pPr>
            <w:r>
              <w:rPr>
                <w:color w:val="000000"/>
                <w:kern w:val="0"/>
                <w:sz w:val="24"/>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7A0">
            <w:pPr>
              <w:jc w:val="center"/>
              <w:rPr>
                <w:color w:val="000000"/>
                <w:sz w:val="24"/>
              </w:rPr>
            </w:pPr>
          </w:p>
        </w:tc>
      </w:tr>
      <w:tr w14:paraId="2C04444C">
        <w:trPr>
          <w:trHeight w:val="184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C324">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5CF86C6C">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BE09">
            <w:pPr>
              <w:widowControl/>
              <w:jc w:val="left"/>
              <w:textAlignment w:val="center"/>
              <w:rPr>
                <w:color w:val="000000"/>
                <w:kern w:val="0"/>
                <w:sz w:val="18"/>
                <w:szCs w:val="18"/>
              </w:rPr>
            </w:pPr>
            <w:r>
              <w:rPr>
                <w:color w:val="000000"/>
                <w:kern w:val="0"/>
                <w:sz w:val="18"/>
                <w:szCs w:val="18"/>
              </w:rPr>
              <w:t>项目入库</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D05">
            <w:pPr>
              <w:widowControl/>
              <w:jc w:val="left"/>
              <w:textAlignment w:val="center"/>
              <w:rPr>
                <w:color w:val="000000"/>
                <w:kern w:val="0"/>
                <w:sz w:val="18"/>
                <w:szCs w:val="18"/>
              </w:rPr>
            </w:pPr>
            <w:r>
              <w:rPr>
                <w:color w:val="000000"/>
                <w:kern w:val="0"/>
                <w:sz w:val="18"/>
                <w:szCs w:val="18"/>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F07">
            <w:pPr>
              <w:widowControl/>
              <w:jc w:val="left"/>
              <w:textAlignment w:val="center"/>
              <w:rPr>
                <w:color w:val="000000"/>
                <w:kern w:val="0"/>
                <w:sz w:val="18"/>
                <w:szCs w:val="18"/>
              </w:rPr>
            </w:pPr>
            <w:r>
              <w:rPr>
                <w:color w:val="000000"/>
                <w:kern w:val="0"/>
                <w:sz w:val="18"/>
                <w:szCs w:val="18"/>
              </w:rPr>
              <w:t>部门预算项目是否在规定时间完成项目入库</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5857">
            <w:pPr>
              <w:widowControl/>
              <w:jc w:val="left"/>
              <w:textAlignment w:val="center"/>
              <w:rPr>
                <w:color w:val="000000"/>
                <w:kern w:val="0"/>
                <w:sz w:val="18"/>
                <w:szCs w:val="18"/>
              </w:rPr>
            </w:pPr>
            <w:r>
              <w:rPr>
                <w:color w:val="000000"/>
                <w:kern w:val="0"/>
                <w:sz w:val="18"/>
                <w:szCs w:val="18"/>
              </w:rPr>
              <w:t>该项指标得分=4-规定时间未入财政库部门预算阶段项目（含一次性项目）数量÷最终安排部门预算阶段项目（含一次性项目）总数×100%×4。（默认满分）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81BB">
            <w:pPr>
              <w:widowControl/>
              <w:jc w:val="center"/>
              <w:textAlignment w:val="center"/>
              <w:rPr>
                <w:color w:val="000000"/>
                <w:sz w:val="24"/>
              </w:rPr>
            </w:pPr>
            <w:r>
              <w:rPr>
                <w:color w:val="000000"/>
                <w:kern w:val="0"/>
                <w:sz w:val="24"/>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B151">
            <w:pPr>
              <w:jc w:val="center"/>
              <w:rPr>
                <w:color w:val="000000"/>
                <w:sz w:val="24"/>
              </w:rPr>
            </w:pPr>
          </w:p>
        </w:tc>
      </w:tr>
      <w:tr w14:paraId="7C86CF0F">
        <w:tblPrEx>
          <w:tblCellMar>
            <w:top w:w="0" w:type="dxa"/>
            <w:left w:w="108" w:type="dxa"/>
            <w:bottom w:w="0" w:type="dxa"/>
            <w:right w:w="108" w:type="dxa"/>
          </w:tblCellMar>
        </w:tblPrEx>
        <w:trPr>
          <w:trHeight w:val="184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DBCA">
            <w:pPr>
              <w:jc w:val="center"/>
              <w:rPr>
                <w:b/>
                <w:bCs/>
                <w:color w:val="000000"/>
                <w:sz w:val="24"/>
              </w:rPr>
            </w:pPr>
          </w:p>
        </w:tc>
        <w:tc>
          <w:tcPr>
            <w:tcW w:w="699" w:type="dxa"/>
            <w:vMerge w:val="restart"/>
            <w:tcBorders>
              <w:top w:val="single" w:color="000000" w:sz="4" w:space="0"/>
              <w:left w:val="single" w:color="000000" w:sz="4" w:space="0"/>
              <w:bottom w:val="nil"/>
              <w:right w:val="single" w:color="000000" w:sz="4" w:space="0"/>
            </w:tcBorders>
            <w:shd w:val="clear" w:color="auto" w:fill="auto"/>
            <w:vAlign w:val="center"/>
          </w:tcPr>
          <w:p w14:paraId="2025C099">
            <w:pPr>
              <w:widowControl/>
              <w:jc w:val="center"/>
              <w:textAlignment w:val="center"/>
              <w:rPr>
                <w:b/>
                <w:bCs/>
                <w:color w:val="000000"/>
                <w:sz w:val="24"/>
              </w:rPr>
            </w:pPr>
            <w:r>
              <w:rPr>
                <w:b/>
                <w:bCs/>
                <w:color w:val="000000"/>
                <w:kern w:val="0"/>
                <w:sz w:val="24"/>
              </w:rPr>
              <w:t>项目执行</w:t>
            </w:r>
            <w:r>
              <w:rPr>
                <w:b/>
                <w:bCs/>
                <w:color w:val="000000"/>
                <w:kern w:val="0"/>
                <w:sz w:val="24"/>
              </w:rPr>
              <w:br w:type="textWrapping"/>
            </w:r>
            <w:r>
              <w:rPr>
                <w:b/>
                <w:bCs/>
                <w:color w:val="000000"/>
                <w:kern w:val="0"/>
                <w:sz w:val="24"/>
              </w:rPr>
              <w:t>（15分）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0658">
            <w:pPr>
              <w:widowControl/>
              <w:jc w:val="left"/>
              <w:textAlignment w:val="center"/>
              <w:rPr>
                <w:color w:val="000000"/>
                <w:kern w:val="0"/>
                <w:sz w:val="18"/>
                <w:szCs w:val="18"/>
              </w:rPr>
            </w:pPr>
            <w:r>
              <w:rPr>
                <w:color w:val="000000"/>
                <w:kern w:val="0"/>
                <w:sz w:val="18"/>
                <w:szCs w:val="18"/>
              </w:rPr>
              <w:t>执行同向</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0B6">
            <w:pPr>
              <w:widowControl/>
              <w:jc w:val="left"/>
              <w:textAlignment w:val="center"/>
              <w:rPr>
                <w:color w:val="000000"/>
                <w:kern w:val="0"/>
                <w:sz w:val="18"/>
                <w:szCs w:val="18"/>
              </w:rPr>
            </w:pPr>
            <w:r>
              <w:rPr>
                <w:color w:val="000000"/>
                <w:kern w:val="0"/>
                <w:sz w:val="18"/>
                <w:szCs w:val="18"/>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BC8D">
            <w:pPr>
              <w:widowControl/>
              <w:jc w:val="left"/>
              <w:textAlignment w:val="center"/>
              <w:rPr>
                <w:color w:val="000000"/>
                <w:kern w:val="0"/>
                <w:sz w:val="18"/>
                <w:szCs w:val="18"/>
              </w:rPr>
            </w:pPr>
            <w:r>
              <w:rPr>
                <w:color w:val="000000"/>
                <w:kern w:val="0"/>
                <w:sz w:val="18"/>
                <w:szCs w:val="18"/>
              </w:rPr>
              <w:t>部门预算项目实际列支内容是否与绩效目标设置方向相符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3AD0">
            <w:pPr>
              <w:widowControl/>
              <w:jc w:val="left"/>
              <w:textAlignment w:val="center"/>
              <w:rPr>
                <w:color w:val="000000"/>
                <w:kern w:val="0"/>
                <w:sz w:val="18"/>
                <w:szCs w:val="18"/>
              </w:rPr>
            </w:pPr>
            <w:r>
              <w:rPr>
                <w:color w:val="000000"/>
                <w:kern w:val="0"/>
                <w:sz w:val="18"/>
                <w:szCs w:val="18"/>
              </w:rPr>
              <w:t>该项指标得分=4-实际列支内容与绩效目标设置方向不相符的部门预算阶段项目（含一次性项目）数量÷部门预算阶段项目（含一次性项目）总数×100%×5。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79A">
            <w:pPr>
              <w:widowControl/>
              <w:jc w:val="center"/>
              <w:textAlignment w:val="center"/>
              <w:rPr>
                <w:color w:val="000000"/>
                <w:sz w:val="24"/>
              </w:rPr>
            </w:pPr>
            <w:r>
              <w:rPr>
                <w:color w:val="000000"/>
                <w:kern w:val="0"/>
                <w:sz w:val="24"/>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0B46">
            <w:pPr>
              <w:jc w:val="center"/>
              <w:rPr>
                <w:color w:val="000000"/>
                <w:sz w:val="24"/>
              </w:rPr>
            </w:pPr>
          </w:p>
        </w:tc>
      </w:tr>
      <w:tr w14:paraId="3DEA224F">
        <w:tblPrEx>
          <w:tblCellMar>
            <w:top w:w="0" w:type="dxa"/>
            <w:left w:w="108" w:type="dxa"/>
            <w:bottom w:w="0" w:type="dxa"/>
            <w:right w:w="108" w:type="dxa"/>
          </w:tblCellMar>
        </w:tblPrEx>
        <w:trPr>
          <w:trHeight w:val="1085"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58B3">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6FD06230">
            <w:pPr>
              <w:jc w:val="center"/>
              <w:rPr>
                <w:b/>
                <w:bCs/>
                <w:color w:val="000000"/>
                <w:sz w:val="24"/>
              </w:rPr>
            </w:pPr>
          </w:p>
        </w:tc>
        <w:tc>
          <w:tcPr>
            <w:tcW w:w="1132" w:type="dxa"/>
            <w:tcBorders>
              <w:top w:val="single" w:color="000000" w:sz="4" w:space="0"/>
              <w:left w:val="single" w:color="000000" w:sz="4" w:space="0"/>
              <w:bottom w:val="nil"/>
              <w:right w:val="single" w:color="000000" w:sz="4" w:space="0"/>
            </w:tcBorders>
            <w:shd w:val="clear" w:color="auto" w:fill="auto"/>
            <w:vAlign w:val="center"/>
          </w:tcPr>
          <w:p w14:paraId="5872CB6C">
            <w:pPr>
              <w:widowControl/>
              <w:jc w:val="left"/>
              <w:textAlignment w:val="center"/>
              <w:rPr>
                <w:color w:val="000000"/>
                <w:kern w:val="0"/>
                <w:sz w:val="18"/>
                <w:szCs w:val="18"/>
              </w:rPr>
            </w:pPr>
            <w:r>
              <w:rPr>
                <w:color w:val="000000"/>
                <w:kern w:val="0"/>
                <w:sz w:val="18"/>
                <w:szCs w:val="18"/>
              </w:rPr>
              <w:t>项目调整</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4D0C">
            <w:pPr>
              <w:widowControl/>
              <w:jc w:val="left"/>
              <w:textAlignment w:val="center"/>
              <w:rPr>
                <w:color w:val="000000"/>
                <w:kern w:val="0"/>
                <w:sz w:val="18"/>
                <w:szCs w:val="18"/>
              </w:rPr>
            </w:pPr>
            <w:r>
              <w:rPr>
                <w:color w:val="000000"/>
                <w:kern w:val="0"/>
                <w:sz w:val="18"/>
                <w:szCs w:val="18"/>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266F">
            <w:pPr>
              <w:widowControl/>
              <w:jc w:val="left"/>
              <w:textAlignment w:val="center"/>
              <w:rPr>
                <w:color w:val="000000"/>
                <w:kern w:val="0"/>
                <w:sz w:val="18"/>
                <w:szCs w:val="18"/>
              </w:rPr>
            </w:pPr>
            <w:r>
              <w:rPr>
                <w:color w:val="000000"/>
                <w:kern w:val="0"/>
                <w:sz w:val="18"/>
                <w:szCs w:val="18"/>
              </w:rPr>
              <w:t>部门预算项目是否采取对应调整措施</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077">
            <w:pPr>
              <w:widowControl/>
              <w:jc w:val="left"/>
              <w:textAlignment w:val="center"/>
              <w:rPr>
                <w:color w:val="000000"/>
                <w:kern w:val="0"/>
                <w:sz w:val="18"/>
                <w:szCs w:val="18"/>
              </w:rPr>
            </w:pPr>
            <w:r>
              <w:rPr>
                <w:color w:val="000000"/>
                <w:kern w:val="0"/>
                <w:sz w:val="18"/>
                <w:szCs w:val="18"/>
              </w:rPr>
              <w:t>该项指标得分=4-应采取未采取收回预算、调整目标等处置措施的部门预算阶段项目（含一次性项目）数量÷应采取收回预算、调整目标等处置措施的部门预算阶段项目（含一次性项目）总数×100%×6。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F38">
            <w:pPr>
              <w:widowControl/>
              <w:jc w:val="center"/>
              <w:textAlignment w:val="center"/>
              <w:rPr>
                <w:color w:val="000000"/>
                <w:sz w:val="24"/>
              </w:rPr>
            </w:pPr>
            <w:r>
              <w:rPr>
                <w:color w:val="000000"/>
                <w:kern w:val="0"/>
                <w:sz w:val="24"/>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EF62">
            <w:pPr>
              <w:jc w:val="center"/>
              <w:rPr>
                <w:color w:val="000000"/>
                <w:sz w:val="24"/>
              </w:rPr>
            </w:pPr>
          </w:p>
        </w:tc>
      </w:tr>
      <w:tr w14:paraId="5F295318">
        <w:tblPrEx>
          <w:tblCellMar>
            <w:top w:w="0" w:type="dxa"/>
            <w:left w:w="108" w:type="dxa"/>
            <w:bottom w:w="0" w:type="dxa"/>
            <w:right w:w="108" w:type="dxa"/>
          </w:tblCellMar>
        </w:tblPrEx>
        <w:trPr>
          <w:trHeight w:val="184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CBE7">
            <w:pPr>
              <w:jc w:val="center"/>
              <w:rPr>
                <w:b/>
                <w:bCs/>
                <w:color w:val="000000"/>
                <w:sz w:val="24"/>
              </w:rPr>
            </w:pPr>
          </w:p>
        </w:tc>
        <w:tc>
          <w:tcPr>
            <w:tcW w:w="699" w:type="dxa"/>
            <w:vMerge w:val="continue"/>
            <w:tcBorders>
              <w:top w:val="single" w:color="000000" w:sz="4" w:space="0"/>
              <w:left w:val="single" w:color="000000" w:sz="4" w:space="0"/>
              <w:bottom w:val="nil"/>
              <w:right w:val="single" w:color="000000" w:sz="4" w:space="0"/>
            </w:tcBorders>
            <w:shd w:val="clear" w:color="auto" w:fill="auto"/>
            <w:vAlign w:val="center"/>
          </w:tcPr>
          <w:p w14:paraId="40F51157">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30E3">
            <w:pPr>
              <w:widowControl/>
              <w:jc w:val="left"/>
              <w:textAlignment w:val="center"/>
              <w:rPr>
                <w:color w:val="000000"/>
                <w:kern w:val="0"/>
                <w:sz w:val="18"/>
                <w:szCs w:val="18"/>
              </w:rPr>
            </w:pPr>
            <w:r>
              <w:rPr>
                <w:color w:val="000000"/>
                <w:kern w:val="0"/>
                <w:sz w:val="18"/>
                <w:szCs w:val="18"/>
              </w:rPr>
              <w:t>执行结果</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43FC">
            <w:pPr>
              <w:widowControl/>
              <w:jc w:val="left"/>
              <w:textAlignment w:val="center"/>
              <w:rPr>
                <w:color w:val="000000"/>
                <w:kern w:val="0"/>
                <w:sz w:val="18"/>
                <w:szCs w:val="18"/>
              </w:rPr>
            </w:pPr>
            <w:r>
              <w:rPr>
                <w:color w:val="000000"/>
                <w:kern w:val="0"/>
                <w:sz w:val="18"/>
                <w:szCs w:val="18"/>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33C0">
            <w:pPr>
              <w:widowControl/>
              <w:jc w:val="left"/>
              <w:textAlignment w:val="center"/>
              <w:rPr>
                <w:color w:val="000000"/>
                <w:kern w:val="0"/>
                <w:sz w:val="18"/>
                <w:szCs w:val="18"/>
              </w:rPr>
            </w:pPr>
            <w:r>
              <w:rPr>
                <w:color w:val="000000"/>
                <w:kern w:val="0"/>
                <w:sz w:val="18"/>
                <w:szCs w:val="18"/>
              </w:rPr>
              <w:t>部门预算项目预算执行情况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D02">
            <w:pPr>
              <w:widowControl/>
              <w:jc w:val="left"/>
              <w:textAlignment w:val="center"/>
              <w:rPr>
                <w:color w:val="000000"/>
                <w:kern w:val="0"/>
                <w:sz w:val="18"/>
                <w:szCs w:val="18"/>
              </w:rPr>
            </w:pPr>
            <w:r>
              <w:rPr>
                <w:color w:val="000000"/>
                <w:kern w:val="0"/>
                <w:sz w:val="18"/>
                <w:szCs w:val="18"/>
              </w:rPr>
              <w:t>该项指标得分=预算结余率小于10%的常年项目数量÷部门预算常年项目总数×100%×2+预算结余率小于10%的一次性项目和阶段项目数量÷部门预算一次性项目和阶段项目总数×100%×2。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B8D6">
            <w:pPr>
              <w:widowControl/>
              <w:jc w:val="center"/>
              <w:textAlignment w:val="center"/>
              <w:rPr>
                <w:color w:val="000000"/>
                <w:sz w:val="24"/>
              </w:rPr>
            </w:pPr>
            <w:r>
              <w:rPr>
                <w:color w:val="000000"/>
                <w:kern w:val="0"/>
                <w:sz w:val="24"/>
              </w:rPr>
              <w:t>3.4</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FD5">
            <w:pPr>
              <w:jc w:val="center"/>
              <w:rPr>
                <w:color w:val="000000"/>
                <w:sz w:val="24"/>
              </w:rPr>
            </w:pPr>
          </w:p>
        </w:tc>
      </w:tr>
      <w:tr w14:paraId="3EBD1D46">
        <w:tblPrEx>
          <w:tblCellMar>
            <w:top w:w="0" w:type="dxa"/>
            <w:left w:w="108" w:type="dxa"/>
            <w:bottom w:w="0" w:type="dxa"/>
            <w:right w:w="108" w:type="dxa"/>
          </w:tblCellMar>
        </w:tblPrEx>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54F7">
            <w:pPr>
              <w:jc w:val="center"/>
              <w:rPr>
                <w:b/>
                <w:bCs/>
                <w:color w:val="000000"/>
                <w:sz w:val="24"/>
              </w:rPr>
            </w:pP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D3226">
            <w:pPr>
              <w:widowControl/>
              <w:jc w:val="center"/>
              <w:textAlignment w:val="center"/>
              <w:rPr>
                <w:b/>
                <w:bCs/>
                <w:color w:val="000000"/>
                <w:sz w:val="24"/>
              </w:rPr>
            </w:pPr>
            <w:r>
              <w:rPr>
                <w:b/>
                <w:bCs/>
                <w:color w:val="000000"/>
                <w:kern w:val="0"/>
                <w:sz w:val="24"/>
              </w:rPr>
              <w:t>目标实现</w:t>
            </w:r>
            <w:r>
              <w:rPr>
                <w:b/>
                <w:bCs/>
                <w:color w:val="000000"/>
                <w:kern w:val="0"/>
                <w:sz w:val="24"/>
              </w:rPr>
              <w:br w:type="textWrapping"/>
            </w:r>
            <w:r>
              <w:rPr>
                <w:b/>
                <w:bCs/>
                <w:color w:val="000000"/>
                <w:kern w:val="0"/>
                <w:sz w:val="24"/>
              </w:rPr>
              <w:t>（17分）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C646">
            <w:pPr>
              <w:widowControl/>
              <w:jc w:val="left"/>
              <w:textAlignment w:val="center"/>
              <w:rPr>
                <w:color w:val="000000"/>
                <w:kern w:val="0"/>
                <w:sz w:val="18"/>
                <w:szCs w:val="18"/>
              </w:rPr>
            </w:pPr>
            <w:r>
              <w:rPr>
                <w:color w:val="000000"/>
                <w:kern w:val="0"/>
                <w:sz w:val="18"/>
                <w:szCs w:val="18"/>
              </w:rPr>
              <w:t>目标完成</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C38C">
            <w:pPr>
              <w:widowControl/>
              <w:jc w:val="left"/>
              <w:textAlignment w:val="center"/>
              <w:rPr>
                <w:color w:val="000000"/>
                <w:kern w:val="0"/>
                <w:sz w:val="18"/>
                <w:szCs w:val="18"/>
              </w:rPr>
            </w:pPr>
            <w:r>
              <w:rPr>
                <w:color w:val="000000"/>
                <w:kern w:val="0"/>
                <w:sz w:val="18"/>
                <w:szCs w:val="18"/>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BF44">
            <w:pPr>
              <w:widowControl/>
              <w:jc w:val="left"/>
              <w:textAlignment w:val="center"/>
              <w:rPr>
                <w:color w:val="000000"/>
                <w:kern w:val="0"/>
                <w:sz w:val="18"/>
                <w:szCs w:val="18"/>
              </w:rPr>
            </w:pPr>
            <w:r>
              <w:rPr>
                <w:color w:val="000000"/>
                <w:kern w:val="0"/>
                <w:sz w:val="18"/>
                <w:szCs w:val="18"/>
              </w:rPr>
              <w:t>部门预算项目绩效目标数量指标完成情况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8E6B">
            <w:pPr>
              <w:widowControl/>
              <w:jc w:val="left"/>
              <w:textAlignment w:val="center"/>
              <w:rPr>
                <w:color w:val="000000"/>
                <w:kern w:val="0"/>
                <w:sz w:val="18"/>
                <w:szCs w:val="18"/>
              </w:rPr>
            </w:pPr>
            <w:r>
              <w:rPr>
                <w:color w:val="000000"/>
                <w:kern w:val="0"/>
                <w:sz w:val="18"/>
                <w:szCs w:val="18"/>
              </w:rPr>
              <w:t>该项指标得分=完成绩效目标数量指标的部门预算阶段项目（含一次性项目）数量÷部门预算阶段项目（含一次性项目）总数×100%×6。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98F4">
            <w:pPr>
              <w:widowControl/>
              <w:jc w:val="center"/>
              <w:textAlignment w:val="center"/>
              <w:rPr>
                <w:color w:val="000000"/>
                <w:sz w:val="24"/>
              </w:rPr>
            </w:pPr>
            <w:r>
              <w:rPr>
                <w:color w:val="000000"/>
                <w:kern w:val="0"/>
                <w:sz w:val="24"/>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4407">
            <w:pPr>
              <w:jc w:val="center"/>
              <w:rPr>
                <w:color w:val="000000"/>
                <w:sz w:val="24"/>
              </w:rPr>
            </w:pPr>
          </w:p>
        </w:tc>
      </w:tr>
      <w:tr w14:paraId="6E8A1646">
        <w:tblPrEx>
          <w:tblCellMar>
            <w:top w:w="0" w:type="dxa"/>
            <w:left w:w="108" w:type="dxa"/>
            <w:bottom w:w="0" w:type="dxa"/>
            <w:right w:w="108" w:type="dxa"/>
          </w:tblCellMar>
        </w:tblPrEx>
        <w:trPr>
          <w:trHeight w:val="322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7ABF">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3485">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E395">
            <w:pPr>
              <w:widowControl/>
              <w:jc w:val="left"/>
              <w:textAlignment w:val="center"/>
              <w:rPr>
                <w:color w:val="000000"/>
                <w:kern w:val="0"/>
                <w:sz w:val="18"/>
                <w:szCs w:val="18"/>
              </w:rPr>
            </w:pPr>
            <w:r>
              <w:rPr>
                <w:color w:val="000000"/>
                <w:kern w:val="0"/>
                <w:sz w:val="18"/>
                <w:szCs w:val="18"/>
              </w:rPr>
              <w:t>目标偏离</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79B4">
            <w:pPr>
              <w:widowControl/>
              <w:jc w:val="left"/>
              <w:textAlignment w:val="center"/>
              <w:rPr>
                <w:color w:val="000000"/>
                <w:kern w:val="0"/>
                <w:sz w:val="18"/>
                <w:szCs w:val="18"/>
              </w:rPr>
            </w:pPr>
            <w:r>
              <w:rPr>
                <w:color w:val="000000"/>
                <w:kern w:val="0"/>
                <w:sz w:val="18"/>
                <w:szCs w:val="18"/>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E6FC">
            <w:pPr>
              <w:widowControl/>
              <w:jc w:val="left"/>
              <w:textAlignment w:val="center"/>
              <w:rPr>
                <w:color w:val="000000"/>
                <w:kern w:val="0"/>
                <w:sz w:val="18"/>
                <w:szCs w:val="18"/>
              </w:rPr>
            </w:pPr>
            <w:r>
              <w:rPr>
                <w:color w:val="000000"/>
                <w:kern w:val="0"/>
                <w:sz w:val="18"/>
                <w:szCs w:val="18"/>
              </w:rPr>
              <w:t>部门预算项目绩效目标数量指标实现程度与预期目标的偏离情况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7C9A">
            <w:pPr>
              <w:widowControl/>
              <w:jc w:val="left"/>
              <w:textAlignment w:val="center"/>
              <w:rPr>
                <w:color w:val="000000"/>
                <w:kern w:val="0"/>
                <w:sz w:val="18"/>
                <w:szCs w:val="18"/>
              </w:rPr>
            </w:pPr>
            <w:r>
              <w:rPr>
                <w:color w:val="000000"/>
                <w:kern w:val="0"/>
                <w:sz w:val="18"/>
                <w:szCs w:val="18"/>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3813">
            <w:pPr>
              <w:widowControl/>
              <w:jc w:val="center"/>
              <w:textAlignment w:val="center"/>
              <w:rPr>
                <w:color w:val="000000"/>
                <w:sz w:val="24"/>
              </w:rPr>
            </w:pPr>
            <w:r>
              <w:rPr>
                <w:color w:val="000000"/>
                <w:kern w:val="0"/>
                <w:sz w:val="24"/>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3CC3">
            <w:pPr>
              <w:jc w:val="center"/>
              <w:rPr>
                <w:color w:val="000000"/>
                <w:sz w:val="24"/>
              </w:rPr>
            </w:pPr>
          </w:p>
        </w:tc>
      </w:tr>
      <w:tr w14:paraId="4CA5EFE3">
        <w:tblPrEx>
          <w:tblCellMar>
            <w:top w:w="0" w:type="dxa"/>
            <w:left w:w="108" w:type="dxa"/>
            <w:bottom w:w="0" w:type="dxa"/>
            <w:right w:w="108" w:type="dxa"/>
          </w:tblCellMar>
        </w:tblPrEx>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B0C7">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9CFA">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B038">
            <w:pPr>
              <w:widowControl/>
              <w:jc w:val="left"/>
              <w:textAlignment w:val="center"/>
              <w:rPr>
                <w:color w:val="000000"/>
                <w:kern w:val="0"/>
                <w:sz w:val="18"/>
                <w:szCs w:val="18"/>
              </w:rPr>
            </w:pPr>
            <w:r>
              <w:rPr>
                <w:color w:val="000000"/>
                <w:kern w:val="0"/>
                <w:sz w:val="18"/>
                <w:szCs w:val="18"/>
              </w:rPr>
              <w:t>实现效果</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A5D0">
            <w:pPr>
              <w:widowControl/>
              <w:jc w:val="left"/>
              <w:textAlignment w:val="center"/>
              <w:rPr>
                <w:color w:val="000000"/>
                <w:kern w:val="0"/>
                <w:sz w:val="18"/>
                <w:szCs w:val="18"/>
              </w:rPr>
            </w:pPr>
            <w:r>
              <w:rPr>
                <w:color w:val="000000"/>
                <w:kern w:val="0"/>
                <w:sz w:val="18"/>
                <w:szCs w:val="18"/>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F48E">
            <w:pPr>
              <w:widowControl/>
              <w:jc w:val="left"/>
              <w:textAlignment w:val="center"/>
              <w:rPr>
                <w:color w:val="000000"/>
                <w:kern w:val="0"/>
                <w:sz w:val="18"/>
                <w:szCs w:val="18"/>
              </w:rPr>
            </w:pPr>
            <w:r>
              <w:rPr>
                <w:color w:val="000000"/>
                <w:kern w:val="0"/>
                <w:sz w:val="18"/>
                <w:szCs w:val="18"/>
              </w:rPr>
              <w:t>部门预算项目绩效目标效益指标实施效果</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01D5">
            <w:pPr>
              <w:widowControl/>
              <w:jc w:val="left"/>
              <w:textAlignment w:val="center"/>
              <w:rPr>
                <w:color w:val="000000"/>
                <w:kern w:val="0"/>
                <w:sz w:val="18"/>
                <w:szCs w:val="18"/>
              </w:rPr>
            </w:pPr>
            <w:r>
              <w:rPr>
                <w:color w:val="000000"/>
                <w:kern w:val="0"/>
                <w:sz w:val="18"/>
                <w:szCs w:val="18"/>
              </w:rPr>
              <w:t>该项指标得分=完成绩效目标效益指标的部门预算阶段项目（含一次性项目）数量÷部门预算阶段项目（含一次性项目）总数×100%×5。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0E1C">
            <w:pPr>
              <w:widowControl/>
              <w:jc w:val="center"/>
              <w:textAlignment w:val="center"/>
              <w:rPr>
                <w:color w:val="000000"/>
                <w:sz w:val="24"/>
              </w:rPr>
            </w:pPr>
            <w:r>
              <w:rPr>
                <w:color w:val="000000"/>
                <w:kern w:val="0"/>
                <w:sz w:val="24"/>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3E7">
            <w:pPr>
              <w:jc w:val="center"/>
              <w:rPr>
                <w:color w:val="000000"/>
                <w:sz w:val="24"/>
              </w:rPr>
            </w:pPr>
          </w:p>
        </w:tc>
      </w:tr>
      <w:tr w14:paraId="4E2D6ABB">
        <w:tblPrEx>
          <w:tblCellMar>
            <w:top w:w="0" w:type="dxa"/>
            <w:left w:w="108" w:type="dxa"/>
            <w:bottom w:w="0" w:type="dxa"/>
            <w:right w:w="108" w:type="dxa"/>
          </w:tblCellMar>
        </w:tblPrEx>
        <w:trPr>
          <w:trHeight w:val="1389"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71EC">
            <w:pPr>
              <w:widowControl/>
              <w:jc w:val="center"/>
              <w:textAlignment w:val="center"/>
              <w:rPr>
                <w:b/>
                <w:bCs/>
                <w:color w:val="000000"/>
                <w:sz w:val="24"/>
              </w:rPr>
            </w:pPr>
            <w:r>
              <w:rPr>
                <w:b/>
                <w:bCs/>
                <w:color w:val="000000"/>
                <w:kern w:val="0"/>
                <w:sz w:val="24"/>
              </w:rPr>
              <w:t>扣分项</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2F60">
            <w:pPr>
              <w:widowControl/>
              <w:jc w:val="center"/>
              <w:textAlignment w:val="center"/>
              <w:rPr>
                <w:b/>
                <w:bCs/>
                <w:color w:val="000000"/>
                <w:sz w:val="24"/>
              </w:rPr>
            </w:pPr>
            <w:r>
              <w:rPr>
                <w:b/>
                <w:bCs/>
                <w:color w:val="000000"/>
                <w:kern w:val="0"/>
                <w:sz w:val="24"/>
              </w:rPr>
              <w:t>财务管理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868E">
            <w:pPr>
              <w:widowControl/>
              <w:jc w:val="left"/>
              <w:textAlignment w:val="center"/>
              <w:rPr>
                <w:color w:val="000000"/>
                <w:kern w:val="0"/>
                <w:sz w:val="18"/>
                <w:szCs w:val="18"/>
              </w:rPr>
            </w:pPr>
            <w:r>
              <w:rPr>
                <w:color w:val="000000"/>
                <w:kern w:val="0"/>
                <w:sz w:val="18"/>
                <w:szCs w:val="18"/>
              </w:rPr>
              <w:t>财务管理制度</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83C4">
            <w:pPr>
              <w:widowControl/>
              <w:jc w:val="left"/>
              <w:textAlignment w:val="center"/>
              <w:rPr>
                <w:color w:val="000000"/>
                <w:kern w:val="0"/>
                <w:sz w:val="18"/>
                <w:szCs w:val="18"/>
              </w:rPr>
            </w:pPr>
            <w:r>
              <w:rPr>
                <w:color w:val="000000"/>
                <w:kern w:val="0"/>
                <w:sz w:val="18"/>
                <w:szCs w:val="18"/>
              </w:rPr>
              <w:t>-</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153">
            <w:pPr>
              <w:widowControl/>
              <w:jc w:val="left"/>
              <w:textAlignment w:val="center"/>
              <w:rPr>
                <w:color w:val="000000"/>
                <w:kern w:val="0"/>
                <w:sz w:val="18"/>
                <w:szCs w:val="18"/>
              </w:rPr>
            </w:pPr>
            <w:r>
              <w:rPr>
                <w:color w:val="000000"/>
                <w:kern w:val="0"/>
                <w:sz w:val="18"/>
                <w:szCs w:val="18"/>
              </w:rPr>
              <w:t>部门财务管理制度建立情况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171">
            <w:pPr>
              <w:widowControl/>
              <w:jc w:val="left"/>
              <w:textAlignment w:val="center"/>
              <w:rPr>
                <w:color w:val="000000"/>
                <w:kern w:val="0"/>
                <w:sz w:val="18"/>
                <w:szCs w:val="18"/>
              </w:rPr>
            </w:pPr>
            <w:r>
              <w:rPr>
                <w:color w:val="000000"/>
                <w:kern w:val="0"/>
                <w:sz w:val="18"/>
                <w:szCs w:val="18"/>
              </w:rPr>
              <w:t>部门未制定内部财务管理制度等制度机制的,财务管理制度未得到落实，发现一处扣1分，扣完为止。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2FE">
            <w:pPr>
              <w:jc w:val="center"/>
              <w:rPr>
                <w:color w:val="000000"/>
                <w:sz w:val="24"/>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58E">
            <w:pPr>
              <w:jc w:val="center"/>
              <w:rPr>
                <w:color w:val="000000"/>
                <w:sz w:val="24"/>
              </w:rPr>
            </w:pPr>
          </w:p>
        </w:tc>
      </w:tr>
      <w:tr w14:paraId="73CADCFD">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F4D7">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9172">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BE5E">
            <w:pPr>
              <w:widowControl/>
              <w:jc w:val="left"/>
              <w:textAlignment w:val="center"/>
              <w:rPr>
                <w:color w:val="000000"/>
                <w:kern w:val="0"/>
                <w:sz w:val="18"/>
                <w:szCs w:val="18"/>
              </w:rPr>
            </w:pPr>
            <w:r>
              <w:rPr>
                <w:color w:val="000000"/>
                <w:kern w:val="0"/>
                <w:sz w:val="18"/>
                <w:szCs w:val="18"/>
              </w:rPr>
              <w:t>财务岗位设置</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389">
            <w:pPr>
              <w:widowControl/>
              <w:jc w:val="left"/>
              <w:textAlignment w:val="center"/>
              <w:rPr>
                <w:color w:val="000000"/>
                <w:kern w:val="0"/>
                <w:sz w:val="18"/>
                <w:szCs w:val="18"/>
              </w:rPr>
            </w:pPr>
            <w:r>
              <w:rPr>
                <w:color w:val="000000"/>
                <w:kern w:val="0"/>
                <w:sz w:val="18"/>
                <w:szCs w:val="18"/>
              </w:rPr>
              <w:t>-</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F9C">
            <w:pPr>
              <w:widowControl/>
              <w:jc w:val="left"/>
              <w:textAlignment w:val="center"/>
              <w:rPr>
                <w:color w:val="000000"/>
                <w:kern w:val="0"/>
                <w:sz w:val="18"/>
                <w:szCs w:val="18"/>
              </w:rPr>
            </w:pPr>
            <w:r>
              <w:rPr>
                <w:color w:val="000000"/>
                <w:kern w:val="0"/>
                <w:sz w:val="18"/>
                <w:szCs w:val="18"/>
              </w:rPr>
              <w:t>部门财务岗位设置是否符合相关财务管理制度要求</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C91A">
            <w:pPr>
              <w:widowControl/>
              <w:jc w:val="left"/>
              <w:textAlignment w:val="center"/>
              <w:rPr>
                <w:color w:val="000000"/>
                <w:kern w:val="0"/>
                <w:sz w:val="18"/>
                <w:szCs w:val="18"/>
              </w:rPr>
            </w:pPr>
            <w:r>
              <w:rPr>
                <w:color w:val="000000"/>
                <w:kern w:val="0"/>
                <w:sz w:val="18"/>
                <w:szCs w:val="18"/>
              </w:rPr>
              <w:t>部门未合理设置财务工作岗位，职责权限不明确，未严格实行不相容岗位分离，发现一处扣1分，扣完为止。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F63E">
            <w:pPr>
              <w:jc w:val="center"/>
              <w:rPr>
                <w:color w:val="000000"/>
                <w:sz w:val="24"/>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C5BA">
            <w:pPr>
              <w:jc w:val="center"/>
              <w:rPr>
                <w:color w:val="000000"/>
                <w:sz w:val="24"/>
              </w:rPr>
            </w:pPr>
          </w:p>
        </w:tc>
      </w:tr>
      <w:tr w14:paraId="4706E678">
        <w:trPr>
          <w:trHeight w:val="92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DBC86">
            <w:pPr>
              <w:jc w:val="center"/>
              <w:rPr>
                <w:b/>
                <w:bCs/>
                <w:color w:val="000000"/>
                <w:sz w:val="24"/>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ED03">
            <w:pPr>
              <w:jc w:val="center"/>
              <w:rPr>
                <w:b/>
                <w:bCs/>
                <w:color w:val="000000"/>
                <w:sz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C92">
            <w:pPr>
              <w:widowControl/>
              <w:jc w:val="left"/>
              <w:textAlignment w:val="center"/>
              <w:rPr>
                <w:color w:val="000000"/>
                <w:kern w:val="0"/>
                <w:sz w:val="18"/>
                <w:szCs w:val="18"/>
              </w:rPr>
            </w:pPr>
            <w:r>
              <w:rPr>
                <w:color w:val="000000"/>
                <w:kern w:val="0"/>
                <w:sz w:val="18"/>
                <w:szCs w:val="18"/>
              </w:rPr>
              <w:t>资金使用规范</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104E">
            <w:pPr>
              <w:widowControl/>
              <w:jc w:val="left"/>
              <w:textAlignment w:val="center"/>
              <w:rPr>
                <w:color w:val="000000"/>
                <w:kern w:val="0"/>
                <w:sz w:val="18"/>
                <w:szCs w:val="18"/>
              </w:rPr>
            </w:pPr>
            <w:r>
              <w:rPr>
                <w:color w:val="000000"/>
                <w:kern w:val="0"/>
                <w:sz w:val="18"/>
                <w:szCs w:val="18"/>
              </w:rPr>
              <w:t>-</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BF9">
            <w:pPr>
              <w:widowControl/>
              <w:jc w:val="left"/>
              <w:textAlignment w:val="center"/>
              <w:rPr>
                <w:color w:val="000000"/>
                <w:kern w:val="0"/>
                <w:sz w:val="18"/>
                <w:szCs w:val="18"/>
              </w:rPr>
            </w:pPr>
            <w:r>
              <w:rPr>
                <w:color w:val="000000"/>
                <w:kern w:val="0"/>
                <w:sz w:val="18"/>
                <w:szCs w:val="18"/>
              </w:rPr>
              <w:t>部门资金使用是否符合相关财务管理制度规定</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0F6">
            <w:pPr>
              <w:widowControl/>
              <w:jc w:val="left"/>
              <w:textAlignment w:val="center"/>
              <w:rPr>
                <w:color w:val="000000"/>
                <w:kern w:val="0"/>
                <w:sz w:val="18"/>
                <w:szCs w:val="18"/>
              </w:rPr>
            </w:pPr>
            <w:r>
              <w:rPr>
                <w:color w:val="000000"/>
                <w:kern w:val="0"/>
                <w:sz w:val="18"/>
                <w:szCs w:val="18"/>
              </w:rPr>
              <w:t>部门资金使用不符合相关财务管理制度规定的，发现一处扣1分，扣完为止。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F4C">
            <w:pPr>
              <w:jc w:val="center"/>
              <w:rPr>
                <w:color w:val="000000"/>
                <w:sz w:val="24"/>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98A4">
            <w:pPr>
              <w:jc w:val="center"/>
              <w:rPr>
                <w:color w:val="000000"/>
                <w:sz w:val="24"/>
              </w:rPr>
            </w:pPr>
          </w:p>
        </w:tc>
      </w:tr>
      <w:tr w14:paraId="1FFA85A1">
        <w:tblPrEx>
          <w:tblCellMar>
            <w:top w:w="0" w:type="dxa"/>
            <w:left w:w="108" w:type="dxa"/>
            <w:bottom w:w="0" w:type="dxa"/>
            <w:right w:w="108" w:type="dxa"/>
          </w:tblCellMar>
        </w:tblPrEx>
        <w:trPr>
          <w:trHeight w:val="230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3E8D">
            <w:pPr>
              <w:jc w:val="center"/>
              <w:rPr>
                <w:b/>
                <w:bCs/>
                <w:color w:val="000000"/>
                <w:sz w:val="24"/>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A02C0">
            <w:pPr>
              <w:widowControl/>
              <w:jc w:val="left"/>
              <w:textAlignment w:val="center"/>
              <w:rPr>
                <w:color w:val="000000"/>
                <w:kern w:val="0"/>
                <w:sz w:val="18"/>
                <w:szCs w:val="18"/>
              </w:rPr>
            </w:pPr>
            <w:r>
              <w:rPr>
                <w:color w:val="000000"/>
                <w:kern w:val="0"/>
                <w:sz w:val="18"/>
                <w:szCs w:val="18"/>
              </w:rPr>
              <w:t>预算绩效存在问题</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7BE">
            <w:pPr>
              <w:widowControl/>
              <w:jc w:val="left"/>
              <w:textAlignment w:val="center"/>
              <w:rPr>
                <w:color w:val="000000"/>
                <w:kern w:val="0"/>
                <w:sz w:val="18"/>
                <w:szCs w:val="18"/>
              </w:rPr>
            </w:pPr>
            <w:r>
              <w:rPr>
                <w:color w:val="000000"/>
                <w:kern w:val="0"/>
                <w:sz w:val="18"/>
                <w:szCs w:val="18"/>
              </w:rPr>
              <w:t>-</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0489">
            <w:pPr>
              <w:widowControl/>
              <w:jc w:val="left"/>
              <w:textAlignment w:val="center"/>
              <w:rPr>
                <w:color w:val="000000"/>
                <w:kern w:val="0"/>
                <w:sz w:val="18"/>
                <w:szCs w:val="18"/>
              </w:rPr>
            </w:pPr>
            <w:r>
              <w:rPr>
                <w:color w:val="000000"/>
                <w:kern w:val="0"/>
                <w:sz w:val="18"/>
                <w:szCs w:val="18"/>
              </w:rPr>
              <w:t>预算管理和绩效管理工作存在问题</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42C6">
            <w:pPr>
              <w:widowControl/>
              <w:jc w:val="left"/>
              <w:textAlignment w:val="center"/>
              <w:rPr>
                <w:color w:val="000000"/>
                <w:kern w:val="0"/>
                <w:sz w:val="18"/>
                <w:szCs w:val="18"/>
              </w:rPr>
            </w:pPr>
            <w:r>
              <w:rPr>
                <w:color w:val="000000"/>
                <w:kern w:val="0"/>
                <w:sz w:val="18"/>
                <w:szCs w:val="18"/>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4702">
            <w:pPr>
              <w:jc w:val="center"/>
              <w:rPr>
                <w:color w:val="000000"/>
                <w:sz w:val="24"/>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32E">
            <w:pPr>
              <w:jc w:val="center"/>
              <w:rPr>
                <w:color w:val="000000"/>
                <w:sz w:val="24"/>
              </w:rPr>
            </w:pPr>
          </w:p>
        </w:tc>
      </w:tr>
      <w:tr w14:paraId="5D00F9B7">
        <w:tblPrEx>
          <w:tblCellMar>
            <w:top w:w="0" w:type="dxa"/>
            <w:left w:w="108" w:type="dxa"/>
            <w:bottom w:w="0" w:type="dxa"/>
            <w:right w:w="108" w:type="dxa"/>
          </w:tblCellMar>
        </w:tblPrEx>
        <w:trPr>
          <w:trHeight w:val="138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125F">
            <w:pPr>
              <w:jc w:val="center"/>
              <w:rPr>
                <w:b/>
                <w:bCs/>
                <w:color w:val="000000"/>
                <w:sz w:val="24"/>
              </w:rPr>
            </w:pPr>
          </w:p>
        </w:tc>
        <w:tc>
          <w:tcPr>
            <w:tcW w:w="1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2152">
            <w:pPr>
              <w:widowControl/>
              <w:jc w:val="left"/>
              <w:textAlignment w:val="center"/>
              <w:rPr>
                <w:color w:val="000000"/>
                <w:kern w:val="0"/>
                <w:sz w:val="18"/>
                <w:szCs w:val="18"/>
              </w:rPr>
            </w:pPr>
            <w:r>
              <w:rPr>
                <w:color w:val="000000"/>
                <w:kern w:val="0"/>
                <w:sz w:val="18"/>
                <w:szCs w:val="18"/>
              </w:rPr>
              <w:t>被评价部门配合度</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9EC4">
            <w:pPr>
              <w:widowControl/>
              <w:jc w:val="left"/>
              <w:textAlignment w:val="center"/>
              <w:rPr>
                <w:color w:val="000000"/>
                <w:kern w:val="0"/>
                <w:sz w:val="18"/>
                <w:szCs w:val="18"/>
              </w:rPr>
            </w:pPr>
            <w:r>
              <w:rPr>
                <w:color w:val="000000"/>
                <w:kern w:val="0"/>
                <w:sz w:val="18"/>
                <w:szCs w:val="18"/>
              </w:rPr>
              <w:t>-</w:t>
            </w:r>
          </w:p>
        </w:tc>
        <w:tc>
          <w:tcPr>
            <w:tcW w:w="1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67B8">
            <w:pPr>
              <w:widowControl/>
              <w:jc w:val="left"/>
              <w:textAlignment w:val="center"/>
              <w:rPr>
                <w:color w:val="000000"/>
                <w:kern w:val="0"/>
                <w:sz w:val="18"/>
                <w:szCs w:val="18"/>
              </w:rPr>
            </w:pPr>
            <w:r>
              <w:rPr>
                <w:color w:val="000000"/>
                <w:kern w:val="0"/>
                <w:sz w:val="18"/>
                <w:szCs w:val="18"/>
              </w:rPr>
              <w:t>被评价对象工作配合情况</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D773">
            <w:pPr>
              <w:widowControl/>
              <w:jc w:val="left"/>
              <w:textAlignment w:val="center"/>
              <w:rPr>
                <w:color w:val="000000"/>
                <w:kern w:val="0"/>
                <w:sz w:val="18"/>
                <w:szCs w:val="18"/>
              </w:rPr>
            </w:pPr>
            <w:r>
              <w:rPr>
                <w:color w:val="000000"/>
                <w:kern w:val="0"/>
                <w:sz w:val="18"/>
                <w:szCs w:val="18"/>
              </w:rPr>
              <w:t>评价工作开展过程中，被评价对象拖延推诿、提交资料不及时等拒不配合评价工作的，每发现一次扣1分，扣完为止。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18E1">
            <w:pPr>
              <w:jc w:val="center"/>
              <w:rPr>
                <w:color w:val="000000"/>
                <w:sz w:val="24"/>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302E">
            <w:pPr>
              <w:jc w:val="center"/>
              <w:rPr>
                <w:color w:val="000000"/>
                <w:sz w:val="24"/>
              </w:rPr>
            </w:pPr>
          </w:p>
        </w:tc>
      </w:tr>
      <w:tr w14:paraId="622D4D4E">
        <w:tblPrEx>
          <w:tblCellMar>
            <w:top w:w="0" w:type="dxa"/>
            <w:left w:w="108" w:type="dxa"/>
            <w:bottom w:w="0" w:type="dxa"/>
            <w:right w:w="108" w:type="dxa"/>
          </w:tblCellMar>
        </w:tblPrEx>
        <w:trPr>
          <w:trHeight w:val="695" w:hRule="atLeast"/>
        </w:trPr>
        <w:tc>
          <w:tcPr>
            <w:tcW w:w="25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A7B6">
            <w:pPr>
              <w:widowControl/>
              <w:jc w:val="center"/>
              <w:textAlignment w:val="center"/>
              <w:rPr>
                <w:color w:val="000000"/>
                <w:sz w:val="22"/>
                <w:szCs w:val="22"/>
              </w:rPr>
            </w:pPr>
            <w:r>
              <w:rPr>
                <w:color w:val="000000"/>
                <w:kern w:val="0"/>
                <w:sz w:val="22"/>
                <w:szCs w:val="22"/>
              </w:rPr>
              <w:t>分值</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B501">
            <w:pPr>
              <w:widowControl/>
              <w:jc w:val="center"/>
              <w:textAlignment w:val="center"/>
              <w:rPr>
                <w:color w:val="000000"/>
                <w:sz w:val="22"/>
                <w:szCs w:val="22"/>
              </w:rPr>
            </w:pPr>
            <w:r>
              <w:rPr>
                <w:color w:val="000000"/>
                <w:kern w:val="0"/>
                <w:sz w:val="22"/>
                <w:szCs w:val="22"/>
              </w:rPr>
              <w:t>100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A085">
            <w:pPr>
              <w:jc w:val="center"/>
              <w:rPr>
                <w:color w:val="000000"/>
                <w:sz w:val="22"/>
                <w:szCs w:val="22"/>
              </w:rPr>
            </w:pPr>
          </w:p>
        </w:tc>
        <w:tc>
          <w:tcPr>
            <w:tcW w:w="3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9CEB">
            <w:pPr>
              <w:jc w:val="center"/>
              <w:rPr>
                <w:color w:val="000000"/>
                <w:sz w:val="22"/>
                <w:szCs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9D88">
            <w:pPr>
              <w:widowControl/>
              <w:jc w:val="center"/>
              <w:textAlignment w:val="center"/>
              <w:rPr>
                <w:color w:val="000000"/>
                <w:sz w:val="22"/>
                <w:szCs w:val="22"/>
              </w:rPr>
            </w:pPr>
            <w:r>
              <w:rPr>
                <w:color w:val="000000"/>
                <w:kern w:val="0"/>
                <w:sz w:val="22"/>
                <w:szCs w:val="22"/>
              </w:rPr>
              <w:t>92.11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F22A">
            <w:pPr>
              <w:jc w:val="center"/>
              <w:rPr>
                <w:color w:val="000000"/>
                <w:sz w:val="22"/>
                <w:szCs w:val="22"/>
              </w:rPr>
            </w:pPr>
          </w:p>
        </w:tc>
      </w:tr>
    </w:tbl>
    <w:p w14:paraId="11A3BD93">
      <w:pPr>
        <w:pStyle w:val="16"/>
        <w:ind w:left="0" w:leftChars="0" w:firstLine="0" w:firstLineChars="0"/>
        <w:rPr>
          <w:rFonts w:ascii="Times New Roman" w:eastAsia="黑体"/>
          <w:sz w:val="15"/>
          <w:szCs w:val="15"/>
        </w:rPr>
      </w:pPr>
    </w:p>
    <w:p w14:paraId="415DE8CF">
      <w:pPr>
        <w:pStyle w:val="16"/>
        <w:ind w:left="0" w:leftChars="0" w:firstLine="0" w:firstLineChars="0"/>
        <w:rPr>
          <w:rFonts w:ascii="Times New Roman" w:eastAsia="黑体"/>
          <w:sz w:val="15"/>
          <w:szCs w:val="15"/>
        </w:rPr>
      </w:pPr>
    </w:p>
    <w:p w14:paraId="69730335">
      <w:pPr>
        <w:pStyle w:val="16"/>
        <w:ind w:left="0" w:leftChars="0" w:firstLine="0" w:firstLineChars="0"/>
        <w:rPr>
          <w:rFonts w:ascii="Times New Roman" w:eastAsia="黑体"/>
          <w:sz w:val="15"/>
          <w:szCs w:val="15"/>
        </w:rPr>
      </w:pPr>
    </w:p>
    <w:p w14:paraId="6682EFFD">
      <w:pPr>
        <w:pStyle w:val="16"/>
        <w:ind w:left="0" w:leftChars="0" w:firstLine="0" w:firstLineChars="0"/>
        <w:rPr>
          <w:rFonts w:ascii="Times New Roman" w:eastAsia="黑体"/>
          <w:sz w:val="15"/>
          <w:szCs w:val="15"/>
        </w:rPr>
      </w:pPr>
    </w:p>
    <w:p w14:paraId="0B038F8D">
      <w:pPr>
        <w:pStyle w:val="16"/>
        <w:ind w:left="0" w:leftChars="0" w:firstLine="0" w:firstLineChars="0"/>
        <w:rPr>
          <w:rFonts w:ascii="Times New Roman" w:eastAsia="黑体"/>
          <w:sz w:val="15"/>
          <w:szCs w:val="15"/>
        </w:rPr>
      </w:pPr>
    </w:p>
    <w:p w14:paraId="22A003A7">
      <w:pPr>
        <w:pStyle w:val="16"/>
        <w:ind w:left="0" w:leftChars="0" w:firstLine="0" w:firstLineChars="0"/>
        <w:rPr>
          <w:rFonts w:ascii="Times New Roman" w:eastAsia="黑体"/>
          <w:sz w:val="15"/>
          <w:szCs w:val="15"/>
        </w:rPr>
      </w:pPr>
    </w:p>
    <w:p w14:paraId="7F850C9F">
      <w:pPr>
        <w:pStyle w:val="16"/>
        <w:ind w:left="0" w:leftChars="0" w:firstLine="0" w:firstLineChars="0"/>
        <w:rPr>
          <w:rFonts w:ascii="Times New Roman" w:eastAsia="黑体"/>
          <w:sz w:val="15"/>
          <w:szCs w:val="15"/>
        </w:rPr>
      </w:pPr>
    </w:p>
    <w:p w14:paraId="77780195">
      <w:pPr>
        <w:pStyle w:val="16"/>
        <w:ind w:left="0" w:leftChars="0" w:firstLine="0" w:firstLineChars="0"/>
        <w:rPr>
          <w:rFonts w:ascii="Times New Roman" w:eastAsia="黑体"/>
          <w:sz w:val="15"/>
          <w:szCs w:val="15"/>
        </w:rPr>
      </w:pPr>
    </w:p>
    <w:p w14:paraId="4E49F210">
      <w:pPr>
        <w:pStyle w:val="16"/>
        <w:ind w:left="0" w:leftChars="0" w:firstLine="0" w:firstLineChars="0"/>
        <w:rPr>
          <w:rFonts w:ascii="Times New Roman" w:eastAsia="黑体"/>
          <w:sz w:val="15"/>
          <w:szCs w:val="15"/>
        </w:rPr>
      </w:pPr>
    </w:p>
    <w:p w14:paraId="5697F3BD">
      <w:pPr>
        <w:pStyle w:val="16"/>
        <w:ind w:left="0" w:leftChars="0" w:firstLine="0" w:firstLineChars="0"/>
        <w:rPr>
          <w:rFonts w:ascii="Times New Roman" w:eastAsia="黑体"/>
          <w:sz w:val="15"/>
          <w:szCs w:val="15"/>
        </w:rPr>
      </w:pPr>
    </w:p>
    <w:p w14:paraId="1EA54EEE">
      <w:pPr>
        <w:pStyle w:val="16"/>
        <w:ind w:left="0" w:leftChars="0" w:firstLine="0" w:firstLineChars="0"/>
        <w:rPr>
          <w:rFonts w:ascii="Times New Roman" w:eastAsia="黑体"/>
          <w:sz w:val="15"/>
          <w:szCs w:val="15"/>
        </w:rPr>
      </w:pPr>
    </w:p>
    <w:p w14:paraId="50A5C741">
      <w:pPr>
        <w:pStyle w:val="16"/>
        <w:ind w:left="0" w:leftChars="0" w:firstLine="0" w:firstLineChars="0"/>
        <w:rPr>
          <w:rFonts w:ascii="Times New Roman" w:eastAsia="黑体"/>
          <w:sz w:val="15"/>
          <w:szCs w:val="15"/>
        </w:rPr>
      </w:pPr>
    </w:p>
    <w:p w14:paraId="204B41BB">
      <w:pPr>
        <w:pStyle w:val="16"/>
        <w:ind w:left="0" w:leftChars="0" w:firstLine="0" w:firstLineChars="0"/>
        <w:rPr>
          <w:rFonts w:ascii="Times New Roman" w:eastAsia="黑体"/>
          <w:color w:val="000000"/>
          <w:kern w:val="0"/>
          <w:sz w:val="32"/>
          <w:shd w:val="clear" w:color="auto" w:fill="FFFFFF"/>
        </w:rPr>
      </w:pPr>
      <w:r>
        <w:rPr>
          <w:rFonts w:ascii="Times New Roman" w:hAnsi="黑体" w:eastAsia="黑体"/>
          <w:color w:val="000000"/>
          <w:kern w:val="0"/>
          <w:sz w:val="32"/>
          <w:shd w:val="clear" w:color="auto" w:fill="FFFFFF"/>
        </w:rPr>
        <w:t>附表</w:t>
      </w:r>
      <w:r>
        <w:rPr>
          <w:rFonts w:ascii="Times New Roman" w:eastAsia="黑体"/>
          <w:color w:val="000000"/>
          <w:kern w:val="0"/>
          <w:sz w:val="32"/>
          <w:shd w:val="clear" w:color="auto" w:fill="FFFFFF"/>
        </w:rPr>
        <w:t>2</w:t>
      </w:r>
    </w:p>
    <w:tbl>
      <w:tblPr>
        <w:tblStyle w:val="19"/>
        <w:tblW w:w="9285" w:type="dxa"/>
        <w:tblInd w:w="93" w:type="dxa"/>
        <w:tblLayout w:type="fixed"/>
        <w:tblCellMar>
          <w:top w:w="0" w:type="dxa"/>
          <w:left w:w="108" w:type="dxa"/>
          <w:bottom w:w="0" w:type="dxa"/>
          <w:right w:w="108" w:type="dxa"/>
        </w:tblCellMar>
      </w:tblPr>
      <w:tblGrid>
        <w:gridCol w:w="1258"/>
        <w:gridCol w:w="1215"/>
        <w:gridCol w:w="1319"/>
        <w:gridCol w:w="1814"/>
        <w:gridCol w:w="810"/>
        <w:gridCol w:w="900"/>
        <w:gridCol w:w="1107"/>
        <w:gridCol w:w="862"/>
      </w:tblGrid>
      <w:tr w14:paraId="4AE43849">
        <w:tblPrEx>
          <w:tblCellMar>
            <w:top w:w="0" w:type="dxa"/>
            <w:left w:w="108" w:type="dxa"/>
            <w:bottom w:w="0" w:type="dxa"/>
            <w:right w:w="108" w:type="dxa"/>
          </w:tblCellMar>
        </w:tblPrEx>
        <w:trPr>
          <w:trHeight w:val="904" w:hRule="atLeast"/>
        </w:trPr>
        <w:tc>
          <w:tcPr>
            <w:tcW w:w="9285" w:type="dxa"/>
            <w:gridSpan w:val="8"/>
            <w:tcBorders>
              <w:top w:val="nil"/>
              <w:left w:val="nil"/>
              <w:bottom w:val="nil"/>
              <w:right w:val="nil"/>
            </w:tcBorders>
            <w:shd w:val="clear" w:color="auto" w:fill="auto"/>
            <w:vAlign w:val="center"/>
          </w:tcPr>
          <w:p w14:paraId="08BCA9AC">
            <w:pPr>
              <w:widowControl/>
              <w:jc w:val="center"/>
              <w:textAlignment w:val="center"/>
              <w:rPr>
                <w:rFonts w:hint="eastAsia" w:ascii="方正小标宋简体" w:eastAsia="方正小标宋简体"/>
                <w:color w:val="000000"/>
                <w:sz w:val="36"/>
                <w:szCs w:val="36"/>
              </w:rPr>
            </w:pPr>
            <w:r>
              <w:rPr>
                <w:rFonts w:hint="eastAsia" w:ascii="方正小标宋简体" w:eastAsia="方正小标宋简体"/>
                <w:color w:val="000000"/>
                <w:kern w:val="0"/>
                <w:sz w:val="36"/>
                <w:szCs w:val="36"/>
              </w:rPr>
              <w:t>部门整体支出绩效目标表</w:t>
            </w:r>
          </w:p>
        </w:tc>
      </w:tr>
      <w:tr w14:paraId="37C154C5">
        <w:tblPrEx>
          <w:tblCellMar>
            <w:top w:w="0" w:type="dxa"/>
            <w:left w:w="108" w:type="dxa"/>
            <w:bottom w:w="0" w:type="dxa"/>
            <w:right w:w="108" w:type="dxa"/>
          </w:tblCellMar>
        </w:tblPrEx>
        <w:trPr>
          <w:trHeight w:val="286" w:hRule="atLeast"/>
        </w:trPr>
        <w:tc>
          <w:tcPr>
            <w:tcW w:w="9285" w:type="dxa"/>
            <w:gridSpan w:val="8"/>
            <w:tcBorders>
              <w:top w:val="nil"/>
              <w:left w:val="nil"/>
              <w:bottom w:val="nil"/>
              <w:right w:val="nil"/>
            </w:tcBorders>
            <w:shd w:val="clear" w:color="auto" w:fill="auto"/>
            <w:vAlign w:val="center"/>
          </w:tcPr>
          <w:p w14:paraId="5C1496C4">
            <w:pPr>
              <w:widowControl/>
              <w:jc w:val="center"/>
              <w:textAlignment w:val="center"/>
              <w:rPr>
                <w:color w:val="000000"/>
                <w:sz w:val="28"/>
                <w:szCs w:val="28"/>
              </w:rPr>
            </w:pPr>
            <w:r>
              <w:rPr>
                <w:color w:val="000000"/>
                <w:kern w:val="0"/>
                <w:sz w:val="28"/>
                <w:szCs w:val="28"/>
              </w:rPr>
              <w:t>（2024年度）</w:t>
            </w:r>
          </w:p>
        </w:tc>
      </w:tr>
      <w:tr w14:paraId="3362E051">
        <w:tblPrEx>
          <w:tblCellMar>
            <w:top w:w="0" w:type="dxa"/>
            <w:left w:w="108" w:type="dxa"/>
            <w:bottom w:w="0" w:type="dxa"/>
            <w:right w:w="108" w:type="dxa"/>
          </w:tblCellMar>
        </w:tblPrEx>
        <w:trPr>
          <w:trHeight w:val="286" w:hRule="atLeast"/>
        </w:trPr>
        <w:tc>
          <w:tcPr>
            <w:tcW w:w="9285" w:type="dxa"/>
            <w:gridSpan w:val="8"/>
            <w:tcBorders>
              <w:top w:val="nil"/>
              <w:left w:val="nil"/>
              <w:bottom w:val="single" w:color="000000" w:sz="4" w:space="0"/>
              <w:right w:val="nil"/>
            </w:tcBorders>
            <w:shd w:val="clear" w:color="auto" w:fill="auto"/>
            <w:vAlign w:val="center"/>
          </w:tcPr>
          <w:p w14:paraId="587CA608">
            <w:pPr>
              <w:widowControl/>
              <w:jc w:val="right"/>
              <w:textAlignment w:val="center"/>
              <w:rPr>
                <w:color w:val="000000"/>
                <w:sz w:val="18"/>
                <w:szCs w:val="18"/>
              </w:rPr>
            </w:pPr>
            <w:r>
              <w:rPr>
                <w:color w:val="000000"/>
                <w:kern w:val="0"/>
                <w:sz w:val="18"/>
                <w:szCs w:val="18"/>
              </w:rPr>
              <w:t>金额单位：元</w:t>
            </w:r>
          </w:p>
        </w:tc>
      </w:tr>
      <w:tr w14:paraId="436F3245">
        <w:tblPrEx>
          <w:tblCellMar>
            <w:top w:w="0" w:type="dxa"/>
            <w:left w:w="108" w:type="dxa"/>
            <w:bottom w:w="0" w:type="dxa"/>
            <w:right w:w="108" w:type="dxa"/>
          </w:tblCellMar>
        </w:tblPrEx>
        <w:trPr>
          <w:trHeight w:val="569" w:hRule="atLeast"/>
        </w:trPr>
        <w:tc>
          <w:tcPr>
            <w:tcW w:w="3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2C535">
            <w:pPr>
              <w:widowControl/>
              <w:jc w:val="center"/>
              <w:textAlignment w:val="center"/>
              <w:rPr>
                <w:color w:val="000000"/>
                <w:sz w:val="18"/>
                <w:szCs w:val="18"/>
              </w:rPr>
            </w:pPr>
            <w:r>
              <w:rPr>
                <w:color w:val="000000"/>
                <w:kern w:val="0"/>
                <w:sz w:val="18"/>
                <w:szCs w:val="18"/>
              </w:rPr>
              <w:t>部门名称</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299A8">
            <w:pPr>
              <w:widowControl/>
              <w:jc w:val="center"/>
              <w:textAlignment w:val="center"/>
              <w:rPr>
                <w:color w:val="000000"/>
                <w:sz w:val="18"/>
                <w:szCs w:val="18"/>
              </w:rPr>
            </w:pPr>
            <w:r>
              <w:rPr>
                <w:color w:val="000000"/>
                <w:kern w:val="0"/>
                <w:sz w:val="18"/>
                <w:szCs w:val="18"/>
              </w:rPr>
              <w:t>遂宁市经济和信息化局部门</w:t>
            </w:r>
          </w:p>
        </w:tc>
      </w:tr>
      <w:tr w14:paraId="2C0C2170">
        <w:tblPrEx>
          <w:tblCellMar>
            <w:top w:w="0" w:type="dxa"/>
            <w:left w:w="108" w:type="dxa"/>
            <w:bottom w:w="0" w:type="dxa"/>
            <w:right w:w="108" w:type="dxa"/>
          </w:tblCellMar>
        </w:tblPrEx>
        <w:trPr>
          <w:trHeight w:val="398"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11352">
            <w:pPr>
              <w:widowControl/>
              <w:jc w:val="center"/>
              <w:textAlignment w:val="center"/>
              <w:rPr>
                <w:color w:val="000000"/>
                <w:sz w:val="18"/>
                <w:szCs w:val="18"/>
              </w:rPr>
            </w:pPr>
            <w:r>
              <w:rPr>
                <w:color w:val="000000"/>
                <w:kern w:val="0"/>
                <w:sz w:val="18"/>
                <w:szCs w:val="18"/>
              </w:rPr>
              <w:t>年度部门整体支出预算</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709F">
            <w:pPr>
              <w:widowControl/>
              <w:jc w:val="center"/>
              <w:textAlignment w:val="center"/>
              <w:rPr>
                <w:color w:val="000000"/>
                <w:sz w:val="18"/>
                <w:szCs w:val="18"/>
              </w:rPr>
            </w:pPr>
            <w:r>
              <w:rPr>
                <w:color w:val="000000"/>
                <w:kern w:val="0"/>
                <w:sz w:val="18"/>
                <w:szCs w:val="18"/>
              </w:rPr>
              <w:t>资金总额</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B740C">
            <w:pPr>
              <w:widowControl/>
              <w:jc w:val="center"/>
              <w:textAlignment w:val="center"/>
              <w:rPr>
                <w:color w:val="000000"/>
                <w:sz w:val="18"/>
                <w:szCs w:val="18"/>
              </w:rPr>
            </w:pPr>
            <w:r>
              <w:rPr>
                <w:color w:val="000000"/>
                <w:kern w:val="0"/>
                <w:sz w:val="18"/>
                <w:szCs w:val="18"/>
              </w:rPr>
              <w:t>财政拨款</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0879D">
            <w:pPr>
              <w:widowControl/>
              <w:jc w:val="center"/>
              <w:textAlignment w:val="center"/>
              <w:rPr>
                <w:color w:val="000000"/>
                <w:sz w:val="18"/>
                <w:szCs w:val="18"/>
              </w:rPr>
            </w:pPr>
            <w:r>
              <w:rPr>
                <w:color w:val="000000"/>
                <w:kern w:val="0"/>
                <w:sz w:val="18"/>
                <w:szCs w:val="18"/>
              </w:rPr>
              <w:t>其他资金</w:t>
            </w:r>
          </w:p>
        </w:tc>
      </w:tr>
      <w:tr w14:paraId="16E7FB3C">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9E8D">
            <w:pPr>
              <w:jc w:val="center"/>
              <w:rPr>
                <w:color w:val="000000"/>
                <w:sz w:val="18"/>
                <w:szCs w:val="18"/>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7D1E1">
            <w:pPr>
              <w:widowControl/>
              <w:jc w:val="right"/>
              <w:textAlignment w:val="center"/>
              <w:rPr>
                <w:color w:val="000000"/>
                <w:sz w:val="18"/>
                <w:szCs w:val="18"/>
              </w:rPr>
            </w:pPr>
            <w:r>
              <w:rPr>
                <w:color w:val="000000"/>
                <w:kern w:val="0"/>
                <w:sz w:val="18"/>
                <w:szCs w:val="18"/>
              </w:rPr>
              <w:t>19,019,890.12</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31839">
            <w:pPr>
              <w:widowControl/>
              <w:jc w:val="right"/>
              <w:textAlignment w:val="center"/>
              <w:rPr>
                <w:color w:val="000000"/>
                <w:sz w:val="18"/>
                <w:szCs w:val="18"/>
              </w:rPr>
            </w:pPr>
            <w:r>
              <w:rPr>
                <w:color w:val="000000"/>
                <w:kern w:val="0"/>
                <w:sz w:val="18"/>
                <w:szCs w:val="18"/>
              </w:rPr>
              <w:t>19,019,890.12</w:t>
            </w:r>
          </w:p>
        </w:tc>
        <w:tc>
          <w:tcPr>
            <w:tcW w:w="28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B53B0">
            <w:pPr>
              <w:jc w:val="right"/>
              <w:rPr>
                <w:color w:val="000000"/>
                <w:sz w:val="18"/>
                <w:szCs w:val="18"/>
              </w:rPr>
            </w:pPr>
          </w:p>
        </w:tc>
      </w:tr>
      <w:tr w14:paraId="41EEAD45">
        <w:tblPrEx>
          <w:tblCellMar>
            <w:top w:w="0" w:type="dxa"/>
            <w:left w:w="108" w:type="dxa"/>
            <w:bottom w:w="0" w:type="dxa"/>
            <w:right w:w="108" w:type="dxa"/>
          </w:tblCellMar>
        </w:tblPrEx>
        <w:trPr>
          <w:trHeight w:val="1145"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E500">
            <w:pPr>
              <w:widowControl/>
              <w:jc w:val="center"/>
              <w:textAlignment w:val="center"/>
              <w:rPr>
                <w:color w:val="000000"/>
                <w:sz w:val="18"/>
                <w:szCs w:val="18"/>
              </w:rPr>
            </w:pPr>
            <w:r>
              <w:rPr>
                <w:color w:val="000000"/>
                <w:kern w:val="0"/>
                <w:sz w:val="18"/>
                <w:szCs w:val="18"/>
              </w:rPr>
              <w:t>年度总体目标</w:t>
            </w:r>
          </w:p>
        </w:tc>
        <w:tc>
          <w:tcPr>
            <w:tcW w:w="80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6595B3">
            <w:pPr>
              <w:widowControl/>
              <w:jc w:val="left"/>
              <w:textAlignment w:val="center"/>
              <w:rPr>
                <w:color w:val="000000"/>
                <w:sz w:val="18"/>
                <w:szCs w:val="18"/>
              </w:rPr>
            </w:pPr>
            <w:r>
              <w:rPr>
                <w:color w:val="000000"/>
                <w:kern w:val="0"/>
                <w:sz w:val="18"/>
                <w:szCs w:val="18"/>
              </w:rPr>
              <w:t>保障单位正常运转，力争实现全年规上工业增加值增速增长4%，竣工工业项目20个，新建5G基站200个，新增规上工业企业20户。</w:t>
            </w:r>
          </w:p>
        </w:tc>
      </w:tr>
      <w:tr w14:paraId="54FA4C2E">
        <w:tblPrEx>
          <w:tblCellMar>
            <w:top w:w="0" w:type="dxa"/>
            <w:left w:w="108" w:type="dxa"/>
            <w:bottom w:w="0" w:type="dxa"/>
            <w:right w:w="108" w:type="dxa"/>
          </w:tblCellMar>
        </w:tblPrEx>
        <w:trPr>
          <w:trHeight w:val="569"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49148">
            <w:pPr>
              <w:widowControl/>
              <w:jc w:val="center"/>
              <w:textAlignment w:val="center"/>
              <w:rPr>
                <w:color w:val="000000"/>
                <w:sz w:val="18"/>
                <w:szCs w:val="18"/>
              </w:rPr>
            </w:pPr>
            <w:r>
              <w:rPr>
                <w:color w:val="000000"/>
                <w:kern w:val="0"/>
                <w:sz w:val="18"/>
                <w:szCs w:val="18"/>
              </w:rPr>
              <w:t>年度主要任务</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25B1">
            <w:pPr>
              <w:widowControl/>
              <w:jc w:val="center"/>
              <w:textAlignment w:val="center"/>
              <w:rPr>
                <w:color w:val="000000"/>
                <w:sz w:val="18"/>
                <w:szCs w:val="18"/>
              </w:rPr>
            </w:pPr>
            <w:r>
              <w:rPr>
                <w:color w:val="000000"/>
                <w:kern w:val="0"/>
                <w:sz w:val="18"/>
                <w:szCs w:val="18"/>
              </w:rPr>
              <w:t>任务名称</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43E82">
            <w:pPr>
              <w:widowControl/>
              <w:jc w:val="center"/>
              <w:textAlignment w:val="center"/>
              <w:rPr>
                <w:color w:val="000000"/>
                <w:sz w:val="18"/>
                <w:szCs w:val="18"/>
              </w:rPr>
            </w:pPr>
            <w:r>
              <w:rPr>
                <w:color w:val="000000"/>
                <w:kern w:val="0"/>
                <w:sz w:val="18"/>
                <w:szCs w:val="18"/>
              </w:rPr>
              <w:t>主要内容</w:t>
            </w:r>
          </w:p>
        </w:tc>
      </w:tr>
      <w:tr w14:paraId="2EBF15E1">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7D1B">
            <w:pPr>
              <w:jc w:val="center"/>
              <w:rPr>
                <w:color w:val="000000"/>
                <w:sz w:val="18"/>
                <w:szCs w:val="18"/>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F4FA">
            <w:pPr>
              <w:widowControl/>
              <w:jc w:val="left"/>
              <w:textAlignment w:val="center"/>
              <w:rPr>
                <w:color w:val="000000"/>
                <w:sz w:val="18"/>
                <w:szCs w:val="18"/>
              </w:rPr>
            </w:pPr>
            <w:r>
              <w:rPr>
                <w:color w:val="000000"/>
                <w:kern w:val="0"/>
                <w:sz w:val="18"/>
                <w:szCs w:val="18"/>
              </w:rPr>
              <w:t xml:space="preserve">保障单位正常运转 </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7B4D1">
            <w:pPr>
              <w:widowControl/>
              <w:jc w:val="left"/>
              <w:textAlignment w:val="center"/>
              <w:rPr>
                <w:color w:val="000000"/>
                <w:sz w:val="18"/>
                <w:szCs w:val="18"/>
              </w:rPr>
            </w:pPr>
            <w:r>
              <w:rPr>
                <w:color w:val="000000"/>
                <w:kern w:val="0"/>
                <w:sz w:val="18"/>
                <w:szCs w:val="18"/>
              </w:rPr>
              <w:t>贯彻落实中、省、市关于经济和信息化工作的方针政策，保障机关正常运行</w:t>
            </w:r>
          </w:p>
        </w:tc>
      </w:tr>
      <w:tr w14:paraId="47D9529D">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FDD5">
            <w:pPr>
              <w:jc w:val="center"/>
              <w:rPr>
                <w:color w:val="000000"/>
                <w:sz w:val="18"/>
                <w:szCs w:val="18"/>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CC8C7">
            <w:pPr>
              <w:widowControl/>
              <w:jc w:val="left"/>
              <w:textAlignment w:val="center"/>
              <w:rPr>
                <w:color w:val="000000"/>
                <w:sz w:val="18"/>
                <w:szCs w:val="18"/>
              </w:rPr>
            </w:pPr>
            <w:r>
              <w:rPr>
                <w:color w:val="000000"/>
                <w:kern w:val="0"/>
                <w:sz w:val="18"/>
                <w:szCs w:val="18"/>
              </w:rPr>
              <w:t xml:space="preserve">牵头全市工业发展和产业发展统筹协调工作 </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416FE">
            <w:pPr>
              <w:widowControl/>
              <w:jc w:val="left"/>
              <w:textAlignment w:val="center"/>
              <w:rPr>
                <w:color w:val="000000"/>
                <w:sz w:val="18"/>
                <w:szCs w:val="18"/>
              </w:rPr>
            </w:pPr>
            <w:r>
              <w:rPr>
                <w:color w:val="000000"/>
                <w:kern w:val="0"/>
                <w:sz w:val="18"/>
                <w:szCs w:val="18"/>
              </w:rPr>
              <w:t>负责全市3+3+3工业产业发展，推进重点产品、技术、企业、产业链及相关重点项目的培育建设</w:t>
            </w:r>
          </w:p>
        </w:tc>
      </w:tr>
      <w:tr w14:paraId="1483A991">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903E">
            <w:pPr>
              <w:jc w:val="center"/>
              <w:rPr>
                <w:color w:val="000000"/>
                <w:sz w:val="18"/>
                <w:szCs w:val="18"/>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8F2BC">
            <w:pPr>
              <w:widowControl/>
              <w:jc w:val="left"/>
              <w:textAlignment w:val="center"/>
              <w:rPr>
                <w:color w:val="000000"/>
                <w:sz w:val="18"/>
                <w:szCs w:val="18"/>
              </w:rPr>
            </w:pPr>
            <w:r>
              <w:rPr>
                <w:color w:val="000000"/>
                <w:kern w:val="0"/>
                <w:sz w:val="18"/>
                <w:szCs w:val="18"/>
              </w:rPr>
              <w:t>指导全市民营经济发展工作</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32602">
            <w:pPr>
              <w:widowControl/>
              <w:jc w:val="left"/>
              <w:textAlignment w:val="center"/>
              <w:rPr>
                <w:color w:val="000000"/>
                <w:sz w:val="18"/>
                <w:szCs w:val="18"/>
              </w:rPr>
            </w:pPr>
            <w:r>
              <w:rPr>
                <w:color w:val="000000"/>
                <w:kern w:val="0"/>
                <w:sz w:val="18"/>
                <w:szCs w:val="18"/>
              </w:rPr>
              <w:t xml:space="preserve"> 拟订促进民营经济发展的政策措施并组织贯彻落实，推进全市民营经济发展</w:t>
            </w:r>
          </w:p>
        </w:tc>
      </w:tr>
      <w:tr w14:paraId="45BE5E92">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1DCD">
            <w:pPr>
              <w:jc w:val="center"/>
              <w:rPr>
                <w:color w:val="000000"/>
                <w:sz w:val="18"/>
                <w:szCs w:val="18"/>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04339">
            <w:pPr>
              <w:widowControl/>
              <w:jc w:val="left"/>
              <w:textAlignment w:val="center"/>
              <w:rPr>
                <w:color w:val="000000"/>
                <w:sz w:val="18"/>
                <w:szCs w:val="18"/>
              </w:rPr>
            </w:pPr>
            <w:r>
              <w:rPr>
                <w:color w:val="000000"/>
                <w:kern w:val="0"/>
                <w:sz w:val="18"/>
                <w:szCs w:val="18"/>
              </w:rPr>
              <w:t xml:space="preserve">统筹大中小企业协调配套发展 </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3C56E">
            <w:pPr>
              <w:widowControl/>
              <w:jc w:val="left"/>
              <w:textAlignment w:val="center"/>
              <w:rPr>
                <w:color w:val="000000"/>
                <w:sz w:val="18"/>
                <w:szCs w:val="18"/>
              </w:rPr>
            </w:pPr>
            <w:r>
              <w:rPr>
                <w:color w:val="000000"/>
                <w:kern w:val="0"/>
                <w:sz w:val="18"/>
                <w:szCs w:val="18"/>
              </w:rPr>
              <w:t>加强工业企业培育，推进工业小企业升规入统、中型企业快速发展、大型企业发展壮大</w:t>
            </w:r>
          </w:p>
        </w:tc>
      </w:tr>
      <w:tr w14:paraId="5C951E3D">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28D1">
            <w:pPr>
              <w:jc w:val="center"/>
              <w:rPr>
                <w:color w:val="000000"/>
                <w:sz w:val="18"/>
                <w:szCs w:val="18"/>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48FE">
            <w:pPr>
              <w:widowControl/>
              <w:jc w:val="left"/>
              <w:textAlignment w:val="center"/>
              <w:rPr>
                <w:color w:val="000000"/>
                <w:sz w:val="18"/>
                <w:szCs w:val="18"/>
              </w:rPr>
            </w:pPr>
            <w:r>
              <w:rPr>
                <w:color w:val="000000"/>
                <w:kern w:val="0"/>
                <w:sz w:val="18"/>
                <w:szCs w:val="18"/>
              </w:rPr>
              <w:t>负责无线电管理工作</w:t>
            </w:r>
          </w:p>
        </w:tc>
        <w:tc>
          <w:tcPr>
            <w:tcW w:w="54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85DC5">
            <w:pPr>
              <w:widowControl/>
              <w:jc w:val="left"/>
              <w:textAlignment w:val="center"/>
              <w:rPr>
                <w:color w:val="000000"/>
                <w:sz w:val="18"/>
                <w:szCs w:val="18"/>
              </w:rPr>
            </w:pPr>
            <w:r>
              <w:rPr>
                <w:color w:val="000000"/>
                <w:kern w:val="0"/>
                <w:sz w:val="18"/>
                <w:szCs w:val="18"/>
              </w:rPr>
              <w:t xml:space="preserve"> 贯彻执行国家、省无线电管理方针、政策和法规；制定无线电管理发展规划；负责组织重要时期、重点区域、重大活动的无线电安全保障</w:t>
            </w:r>
          </w:p>
        </w:tc>
      </w:tr>
      <w:tr w14:paraId="3B289175">
        <w:tblPrEx>
          <w:tblCellMar>
            <w:top w:w="0" w:type="dxa"/>
            <w:left w:w="108" w:type="dxa"/>
            <w:bottom w:w="0" w:type="dxa"/>
            <w:right w:w="108" w:type="dxa"/>
          </w:tblCellMar>
        </w:tblPrEx>
        <w:trPr>
          <w:trHeight w:val="569" w:hRule="atLeast"/>
        </w:trPr>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EA095">
            <w:pPr>
              <w:widowControl/>
              <w:jc w:val="center"/>
              <w:textAlignment w:val="center"/>
              <w:rPr>
                <w:color w:val="000000"/>
                <w:sz w:val="18"/>
                <w:szCs w:val="18"/>
              </w:rPr>
            </w:pPr>
            <w:r>
              <w:rPr>
                <w:color w:val="000000"/>
                <w:kern w:val="0"/>
                <w:sz w:val="18"/>
                <w:szCs w:val="18"/>
              </w:rPr>
              <w:t>年度绩效指标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28D4">
            <w:pPr>
              <w:widowControl/>
              <w:jc w:val="center"/>
              <w:textAlignment w:val="center"/>
              <w:rPr>
                <w:color w:val="000000"/>
                <w:sz w:val="18"/>
                <w:szCs w:val="18"/>
              </w:rPr>
            </w:pPr>
            <w:r>
              <w:rPr>
                <w:color w:val="000000"/>
                <w:kern w:val="0"/>
                <w:sz w:val="18"/>
                <w:szCs w:val="18"/>
              </w:rPr>
              <w:t>一级指标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2929">
            <w:pPr>
              <w:widowControl/>
              <w:jc w:val="center"/>
              <w:textAlignment w:val="center"/>
              <w:rPr>
                <w:color w:val="000000"/>
                <w:sz w:val="18"/>
                <w:szCs w:val="18"/>
              </w:rPr>
            </w:pPr>
            <w:r>
              <w:rPr>
                <w:color w:val="000000"/>
                <w:kern w:val="0"/>
                <w:sz w:val="18"/>
                <w:szCs w:val="18"/>
              </w:rPr>
              <w:t>二级指标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F258">
            <w:pPr>
              <w:widowControl/>
              <w:jc w:val="center"/>
              <w:textAlignment w:val="center"/>
              <w:rPr>
                <w:color w:val="000000"/>
                <w:sz w:val="18"/>
                <w:szCs w:val="18"/>
              </w:rPr>
            </w:pPr>
            <w:r>
              <w:rPr>
                <w:color w:val="000000"/>
                <w:kern w:val="0"/>
                <w:sz w:val="18"/>
                <w:szCs w:val="18"/>
              </w:rPr>
              <w:t>三级指标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5E84">
            <w:pPr>
              <w:widowControl/>
              <w:jc w:val="center"/>
              <w:textAlignment w:val="center"/>
              <w:rPr>
                <w:color w:val="000000"/>
                <w:sz w:val="18"/>
                <w:szCs w:val="18"/>
              </w:rPr>
            </w:pPr>
            <w:r>
              <w:rPr>
                <w:color w:val="000000"/>
                <w:kern w:val="0"/>
                <w:sz w:val="18"/>
                <w:szCs w:val="18"/>
              </w:rPr>
              <w:t>绩效指标性质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E19">
            <w:pPr>
              <w:widowControl/>
              <w:jc w:val="center"/>
              <w:textAlignment w:val="center"/>
              <w:rPr>
                <w:color w:val="000000"/>
                <w:sz w:val="18"/>
                <w:szCs w:val="18"/>
              </w:rPr>
            </w:pPr>
            <w:r>
              <w:rPr>
                <w:color w:val="000000"/>
                <w:kern w:val="0"/>
                <w:sz w:val="18"/>
                <w:szCs w:val="18"/>
              </w:rPr>
              <w:t>绩效指标值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DE3">
            <w:pPr>
              <w:widowControl/>
              <w:jc w:val="center"/>
              <w:textAlignment w:val="center"/>
              <w:rPr>
                <w:color w:val="000000"/>
                <w:sz w:val="18"/>
                <w:szCs w:val="18"/>
              </w:rPr>
            </w:pPr>
            <w:r>
              <w:rPr>
                <w:color w:val="000000"/>
                <w:kern w:val="0"/>
                <w:sz w:val="18"/>
                <w:szCs w:val="18"/>
              </w:rPr>
              <w:t>绩效度量单位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8796">
            <w:pPr>
              <w:widowControl/>
              <w:jc w:val="center"/>
              <w:textAlignment w:val="center"/>
              <w:rPr>
                <w:color w:val="000000"/>
                <w:sz w:val="18"/>
                <w:szCs w:val="18"/>
              </w:rPr>
            </w:pPr>
            <w:r>
              <w:rPr>
                <w:color w:val="000000"/>
                <w:kern w:val="0"/>
                <w:sz w:val="18"/>
                <w:szCs w:val="18"/>
              </w:rPr>
              <w:t>权重</w:t>
            </w:r>
          </w:p>
        </w:tc>
      </w:tr>
      <w:tr w14:paraId="1F2F683D">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DD09">
            <w:pPr>
              <w:jc w:val="center"/>
              <w:rPr>
                <w:color w:val="000000"/>
                <w:sz w:val="18"/>
                <w:szCs w:val="18"/>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D76F9">
            <w:pPr>
              <w:widowControl/>
              <w:jc w:val="left"/>
              <w:textAlignment w:val="center"/>
              <w:rPr>
                <w:color w:val="000000"/>
                <w:sz w:val="18"/>
                <w:szCs w:val="18"/>
              </w:rPr>
            </w:pPr>
            <w:r>
              <w:rPr>
                <w:color w:val="000000"/>
                <w:kern w:val="0"/>
                <w:sz w:val="18"/>
                <w:szCs w:val="18"/>
              </w:rPr>
              <w:t>产出指标</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1D16C">
            <w:pPr>
              <w:widowControl/>
              <w:jc w:val="left"/>
              <w:textAlignment w:val="center"/>
              <w:rPr>
                <w:color w:val="000000"/>
                <w:sz w:val="18"/>
                <w:szCs w:val="18"/>
              </w:rPr>
            </w:pPr>
            <w:r>
              <w:rPr>
                <w:color w:val="000000"/>
                <w:kern w:val="0"/>
                <w:sz w:val="18"/>
                <w:szCs w:val="18"/>
              </w:rPr>
              <w:t>数量指标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0F59">
            <w:pPr>
              <w:widowControl/>
              <w:jc w:val="left"/>
              <w:textAlignment w:val="center"/>
              <w:rPr>
                <w:color w:val="000000"/>
                <w:sz w:val="18"/>
                <w:szCs w:val="18"/>
              </w:rPr>
            </w:pPr>
            <w:r>
              <w:rPr>
                <w:color w:val="000000"/>
                <w:kern w:val="0"/>
                <w:sz w:val="18"/>
                <w:szCs w:val="18"/>
              </w:rPr>
              <w:t>新增规上工业企业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711">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0104">
            <w:pPr>
              <w:widowControl/>
              <w:jc w:val="left"/>
              <w:textAlignment w:val="center"/>
              <w:rPr>
                <w:color w:val="000000"/>
                <w:sz w:val="18"/>
                <w:szCs w:val="18"/>
              </w:rPr>
            </w:pPr>
            <w:r>
              <w:rPr>
                <w:color w:val="000000"/>
                <w:kern w:val="0"/>
                <w:sz w:val="18"/>
                <w:szCs w:val="18"/>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9DC7">
            <w:pPr>
              <w:widowControl/>
              <w:jc w:val="left"/>
              <w:textAlignment w:val="center"/>
              <w:rPr>
                <w:color w:val="000000"/>
                <w:sz w:val="18"/>
                <w:szCs w:val="18"/>
              </w:rPr>
            </w:pPr>
            <w:r>
              <w:rPr>
                <w:color w:val="000000"/>
                <w:kern w:val="0"/>
                <w:sz w:val="18"/>
                <w:szCs w:val="18"/>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1690">
            <w:pPr>
              <w:widowControl/>
              <w:jc w:val="left"/>
              <w:textAlignment w:val="center"/>
              <w:rPr>
                <w:color w:val="000000"/>
                <w:sz w:val="18"/>
                <w:szCs w:val="18"/>
              </w:rPr>
            </w:pPr>
            <w:r>
              <w:rPr>
                <w:color w:val="000000"/>
                <w:kern w:val="0"/>
                <w:sz w:val="18"/>
                <w:szCs w:val="18"/>
              </w:rPr>
              <w:t>5</w:t>
            </w:r>
          </w:p>
        </w:tc>
      </w:tr>
      <w:tr w14:paraId="5EDE412A">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9C3D">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9BEF">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CDFA4">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9ACB">
            <w:pPr>
              <w:widowControl/>
              <w:jc w:val="left"/>
              <w:textAlignment w:val="center"/>
              <w:rPr>
                <w:color w:val="000000"/>
                <w:sz w:val="18"/>
                <w:szCs w:val="18"/>
              </w:rPr>
            </w:pPr>
            <w:r>
              <w:rPr>
                <w:color w:val="000000"/>
                <w:kern w:val="0"/>
                <w:sz w:val="18"/>
                <w:szCs w:val="18"/>
              </w:rPr>
              <w:t xml:space="preserve"> 保障考试无线电频率安全次数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9505">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90F5">
            <w:pPr>
              <w:widowControl/>
              <w:jc w:val="left"/>
              <w:textAlignment w:val="center"/>
              <w:rPr>
                <w:color w:val="000000"/>
                <w:sz w:val="18"/>
                <w:szCs w:val="18"/>
              </w:rPr>
            </w:pPr>
            <w:r>
              <w:rPr>
                <w:color w:val="000000"/>
                <w:kern w:val="0"/>
                <w:sz w:val="18"/>
                <w:szCs w:val="18"/>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D1D">
            <w:pPr>
              <w:widowControl/>
              <w:jc w:val="left"/>
              <w:textAlignment w:val="center"/>
              <w:rPr>
                <w:color w:val="000000"/>
                <w:sz w:val="18"/>
                <w:szCs w:val="18"/>
              </w:rPr>
            </w:pPr>
            <w:r>
              <w:rPr>
                <w:color w:val="000000"/>
                <w:kern w:val="0"/>
                <w:sz w:val="18"/>
                <w:szCs w:val="18"/>
              </w:rPr>
              <w:t>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449">
            <w:pPr>
              <w:widowControl/>
              <w:jc w:val="left"/>
              <w:textAlignment w:val="center"/>
              <w:rPr>
                <w:color w:val="000000"/>
                <w:sz w:val="18"/>
                <w:szCs w:val="18"/>
              </w:rPr>
            </w:pPr>
            <w:r>
              <w:rPr>
                <w:color w:val="000000"/>
                <w:kern w:val="0"/>
                <w:sz w:val="18"/>
                <w:szCs w:val="18"/>
              </w:rPr>
              <w:t>5</w:t>
            </w:r>
          </w:p>
        </w:tc>
      </w:tr>
      <w:tr w14:paraId="4F4AA5EF">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092F">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ED6D">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2E5E">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7877">
            <w:pPr>
              <w:widowControl/>
              <w:jc w:val="left"/>
              <w:textAlignment w:val="center"/>
              <w:rPr>
                <w:color w:val="000000"/>
                <w:sz w:val="18"/>
                <w:szCs w:val="18"/>
              </w:rPr>
            </w:pPr>
            <w:r>
              <w:rPr>
                <w:color w:val="000000"/>
                <w:kern w:val="0"/>
                <w:sz w:val="18"/>
                <w:szCs w:val="18"/>
              </w:rPr>
              <w:t>竣工工业项目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62A7">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0475">
            <w:pPr>
              <w:widowControl/>
              <w:jc w:val="left"/>
              <w:textAlignment w:val="center"/>
              <w:rPr>
                <w:color w:val="000000"/>
                <w:sz w:val="18"/>
                <w:szCs w:val="18"/>
              </w:rPr>
            </w:pPr>
            <w:r>
              <w:rPr>
                <w:color w:val="000000"/>
                <w:kern w:val="0"/>
                <w:sz w:val="18"/>
                <w:szCs w:val="18"/>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C232">
            <w:pPr>
              <w:widowControl/>
              <w:jc w:val="left"/>
              <w:textAlignment w:val="center"/>
              <w:rPr>
                <w:color w:val="000000"/>
                <w:sz w:val="18"/>
                <w:szCs w:val="18"/>
              </w:rPr>
            </w:pPr>
            <w:r>
              <w:rPr>
                <w:color w:val="000000"/>
                <w:kern w:val="0"/>
                <w:sz w:val="18"/>
                <w:szCs w:val="18"/>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125">
            <w:pPr>
              <w:widowControl/>
              <w:jc w:val="left"/>
              <w:textAlignment w:val="center"/>
              <w:rPr>
                <w:color w:val="000000"/>
                <w:sz w:val="18"/>
                <w:szCs w:val="18"/>
              </w:rPr>
            </w:pPr>
            <w:r>
              <w:rPr>
                <w:color w:val="000000"/>
                <w:kern w:val="0"/>
                <w:sz w:val="18"/>
                <w:szCs w:val="18"/>
              </w:rPr>
              <w:t>5</w:t>
            </w:r>
          </w:p>
        </w:tc>
      </w:tr>
      <w:tr w14:paraId="7D4FD48E">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8D02B">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D427">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82C5">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1335">
            <w:pPr>
              <w:widowControl/>
              <w:jc w:val="left"/>
              <w:textAlignment w:val="center"/>
              <w:rPr>
                <w:color w:val="000000"/>
                <w:sz w:val="18"/>
                <w:szCs w:val="18"/>
              </w:rPr>
            </w:pPr>
            <w:r>
              <w:rPr>
                <w:color w:val="000000"/>
                <w:kern w:val="0"/>
                <w:sz w:val="18"/>
                <w:szCs w:val="18"/>
              </w:rPr>
              <w:t>开展工业经济运行监测次数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67F6">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5D73">
            <w:pPr>
              <w:widowControl/>
              <w:jc w:val="left"/>
              <w:textAlignment w:val="center"/>
              <w:rPr>
                <w:color w:val="000000"/>
                <w:sz w:val="18"/>
                <w:szCs w:val="18"/>
              </w:rPr>
            </w:pPr>
            <w:r>
              <w:rPr>
                <w:color w:val="000000"/>
                <w:kern w:val="0"/>
                <w:sz w:val="18"/>
                <w:szCs w:val="18"/>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066E">
            <w:pPr>
              <w:widowControl/>
              <w:jc w:val="left"/>
              <w:textAlignment w:val="center"/>
              <w:rPr>
                <w:color w:val="000000"/>
                <w:sz w:val="18"/>
                <w:szCs w:val="18"/>
              </w:rPr>
            </w:pPr>
            <w:r>
              <w:rPr>
                <w:color w:val="000000"/>
                <w:kern w:val="0"/>
                <w:sz w:val="18"/>
                <w:szCs w:val="18"/>
              </w:rPr>
              <w:t>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57D6">
            <w:pPr>
              <w:widowControl/>
              <w:jc w:val="left"/>
              <w:textAlignment w:val="center"/>
              <w:rPr>
                <w:color w:val="000000"/>
                <w:sz w:val="18"/>
                <w:szCs w:val="18"/>
              </w:rPr>
            </w:pPr>
            <w:r>
              <w:rPr>
                <w:color w:val="000000"/>
                <w:kern w:val="0"/>
                <w:sz w:val="18"/>
                <w:szCs w:val="18"/>
              </w:rPr>
              <w:t>5</w:t>
            </w:r>
          </w:p>
        </w:tc>
      </w:tr>
      <w:tr w14:paraId="6CF3625C">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1FFD">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8E882">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70632">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99E0">
            <w:pPr>
              <w:widowControl/>
              <w:jc w:val="left"/>
              <w:textAlignment w:val="center"/>
              <w:rPr>
                <w:color w:val="000000"/>
                <w:sz w:val="18"/>
                <w:szCs w:val="18"/>
              </w:rPr>
            </w:pPr>
            <w:r>
              <w:rPr>
                <w:color w:val="000000"/>
                <w:kern w:val="0"/>
                <w:sz w:val="18"/>
                <w:szCs w:val="18"/>
              </w:rPr>
              <w:t>新建5G基站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F1F">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3D3C">
            <w:pPr>
              <w:widowControl/>
              <w:jc w:val="left"/>
              <w:textAlignment w:val="center"/>
              <w:rPr>
                <w:color w:val="000000"/>
                <w:sz w:val="18"/>
                <w:szCs w:val="18"/>
              </w:rPr>
            </w:pPr>
            <w:r>
              <w:rPr>
                <w:color w:val="000000"/>
                <w:kern w:val="0"/>
                <w:sz w:val="18"/>
                <w:szCs w:val="18"/>
              </w:rPr>
              <w:t>200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C86">
            <w:pPr>
              <w:widowControl/>
              <w:jc w:val="left"/>
              <w:textAlignment w:val="center"/>
              <w:rPr>
                <w:color w:val="000000"/>
                <w:sz w:val="18"/>
                <w:szCs w:val="18"/>
              </w:rPr>
            </w:pPr>
            <w:r>
              <w:rPr>
                <w:color w:val="000000"/>
                <w:kern w:val="0"/>
                <w:sz w:val="18"/>
                <w:szCs w:val="18"/>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6F0">
            <w:pPr>
              <w:widowControl/>
              <w:jc w:val="left"/>
              <w:textAlignment w:val="center"/>
              <w:rPr>
                <w:color w:val="000000"/>
                <w:sz w:val="18"/>
                <w:szCs w:val="18"/>
              </w:rPr>
            </w:pPr>
            <w:r>
              <w:rPr>
                <w:color w:val="000000"/>
                <w:kern w:val="0"/>
                <w:sz w:val="18"/>
                <w:szCs w:val="18"/>
              </w:rPr>
              <w:t>5</w:t>
            </w:r>
          </w:p>
        </w:tc>
      </w:tr>
      <w:tr w14:paraId="5DAFDD73">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A694">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277C">
            <w:pPr>
              <w:jc w:val="left"/>
              <w:rPr>
                <w:color w:val="000000"/>
                <w:sz w:val="18"/>
                <w:szCs w:val="18"/>
              </w:rPr>
            </w:pP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400C9">
            <w:pPr>
              <w:widowControl/>
              <w:jc w:val="left"/>
              <w:textAlignment w:val="center"/>
              <w:rPr>
                <w:color w:val="000000"/>
                <w:sz w:val="18"/>
                <w:szCs w:val="18"/>
              </w:rPr>
            </w:pPr>
            <w:r>
              <w:rPr>
                <w:color w:val="000000"/>
                <w:kern w:val="0"/>
                <w:sz w:val="18"/>
                <w:szCs w:val="18"/>
              </w:rPr>
              <w:t>质量指标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78C9">
            <w:pPr>
              <w:widowControl/>
              <w:jc w:val="left"/>
              <w:textAlignment w:val="center"/>
              <w:rPr>
                <w:color w:val="000000"/>
                <w:sz w:val="18"/>
                <w:szCs w:val="18"/>
              </w:rPr>
            </w:pPr>
            <w:r>
              <w:rPr>
                <w:color w:val="000000"/>
                <w:kern w:val="0"/>
                <w:sz w:val="18"/>
                <w:szCs w:val="18"/>
              </w:rPr>
              <w:t>保障考试无线电频率安全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8B3">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F270">
            <w:pPr>
              <w:widowControl/>
              <w:jc w:val="left"/>
              <w:textAlignment w:val="center"/>
              <w:rPr>
                <w:color w:val="000000"/>
                <w:sz w:val="18"/>
                <w:szCs w:val="18"/>
              </w:rPr>
            </w:pPr>
            <w:r>
              <w:rPr>
                <w:color w:val="000000"/>
                <w:kern w:val="0"/>
                <w:sz w:val="18"/>
                <w:szCs w:val="18"/>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FE8C">
            <w:pPr>
              <w:widowControl/>
              <w:jc w:val="left"/>
              <w:textAlignment w:val="center"/>
              <w:rPr>
                <w:color w:val="000000"/>
                <w:sz w:val="18"/>
                <w:szCs w:val="18"/>
              </w:rPr>
            </w:pPr>
            <w:r>
              <w:rPr>
                <w:color w:val="000000"/>
                <w:kern w:val="0"/>
                <w:sz w:val="18"/>
                <w:szCs w:val="18"/>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02C">
            <w:pPr>
              <w:widowControl/>
              <w:jc w:val="left"/>
              <w:textAlignment w:val="center"/>
              <w:rPr>
                <w:color w:val="000000"/>
                <w:sz w:val="18"/>
                <w:szCs w:val="18"/>
              </w:rPr>
            </w:pPr>
            <w:r>
              <w:rPr>
                <w:color w:val="000000"/>
                <w:kern w:val="0"/>
                <w:sz w:val="18"/>
                <w:szCs w:val="18"/>
              </w:rPr>
              <w:t>5</w:t>
            </w:r>
          </w:p>
        </w:tc>
      </w:tr>
      <w:tr w14:paraId="0725B43D">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9C5A">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2E9D">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87B55">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563">
            <w:pPr>
              <w:widowControl/>
              <w:jc w:val="left"/>
              <w:textAlignment w:val="center"/>
              <w:rPr>
                <w:color w:val="000000"/>
                <w:sz w:val="18"/>
                <w:szCs w:val="18"/>
              </w:rPr>
            </w:pPr>
            <w:r>
              <w:rPr>
                <w:color w:val="000000"/>
                <w:kern w:val="0"/>
                <w:sz w:val="18"/>
                <w:szCs w:val="18"/>
              </w:rPr>
              <w:t>民营经济占GDP比重全省排名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48BF">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CC1">
            <w:pPr>
              <w:widowControl/>
              <w:jc w:val="left"/>
              <w:textAlignment w:val="center"/>
              <w:rPr>
                <w:color w:val="000000"/>
                <w:sz w:val="18"/>
                <w:szCs w:val="18"/>
              </w:rPr>
            </w:pPr>
            <w:r>
              <w:rPr>
                <w:color w:val="000000"/>
                <w:kern w:val="0"/>
                <w:sz w:val="18"/>
                <w:szCs w:val="18"/>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4352">
            <w:pPr>
              <w:widowControl/>
              <w:jc w:val="left"/>
              <w:textAlignment w:val="center"/>
              <w:rPr>
                <w:color w:val="000000"/>
                <w:sz w:val="18"/>
                <w:szCs w:val="18"/>
              </w:rPr>
            </w:pPr>
            <w:r>
              <w:rPr>
                <w:color w:val="000000"/>
                <w:kern w:val="0"/>
                <w:sz w:val="18"/>
                <w:szCs w:val="18"/>
              </w:rPr>
              <w:t>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41B2">
            <w:pPr>
              <w:widowControl/>
              <w:jc w:val="left"/>
              <w:textAlignment w:val="center"/>
              <w:rPr>
                <w:color w:val="000000"/>
                <w:sz w:val="18"/>
                <w:szCs w:val="18"/>
              </w:rPr>
            </w:pPr>
            <w:r>
              <w:rPr>
                <w:color w:val="000000"/>
                <w:kern w:val="0"/>
                <w:sz w:val="18"/>
                <w:szCs w:val="18"/>
              </w:rPr>
              <w:t>5</w:t>
            </w:r>
          </w:p>
        </w:tc>
      </w:tr>
      <w:tr w14:paraId="73B94010">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5FCC">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B411">
            <w:pPr>
              <w:jc w:val="left"/>
              <w:rPr>
                <w:color w:val="000000"/>
                <w:sz w:val="18"/>
                <w:szCs w:val="18"/>
              </w:rPr>
            </w:pP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B3C3">
            <w:pPr>
              <w:widowControl/>
              <w:jc w:val="left"/>
              <w:textAlignment w:val="center"/>
              <w:rPr>
                <w:color w:val="000000"/>
                <w:sz w:val="18"/>
                <w:szCs w:val="18"/>
              </w:rPr>
            </w:pPr>
            <w:r>
              <w:rPr>
                <w:color w:val="000000"/>
                <w:kern w:val="0"/>
                <w:sz w:val="18"/>
                <w:szCs w:val="18"/>
              </w:rPr>
              <w:t>时效指标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C18">
            <w:pPr>
              <w:widowControl/>
              <w:jc w:val="left"/>
              <w:textAlignment w:val="center"/>
              <w:rPr>
                <w:color w:val="000000"/>
                <w:sz w:val="18"/>
                <w:szCs w:val="18"/>
              </w:rPr>
            </w:pPr>
            <w:r>
              <w:rPr>
                <w:color w:val="000000"/>
                <w:kern w:val="0"/>
                <w:sz w:val="18"/>
                <w:szCs w:val="18"/>
              </w:rPr>
              <w:t>项目完成时间节点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D0D0">
            <w:pPr>
              <w:widowControl/>
              <w:jc w:val="left"/>
              <w:textAlignment w:val="center"/>
              <w:rPr>
                <w:color w:val="000000"/>
                <w:sz w:val="18"/>
                <w:szCs w:val="18"/>
              </w:rPr>
            </w:pPr>
            <w:r>
              <w:rPr>
                <w:color w:val="000000"/>
                <w:kern w:val="0"/>
                <w:sz w:val="18"/>
                <w:szCs w:val="18"/>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B93">
            <w:pPr>
              <w:widowControl/>
              <w:jc w:val="left"/>
              <w:textAlignment w:val="center"/>
              <w:rPr>
                <w:color w:val="000000"/>
                <w:sz w:val="18"/>
                <w:szCs w:val="18"/>
              </w:rPr>
            </w:pPr>
            <w:r>
              <w:rPr>
                <w:color w:val="000000"/>
                <w:kern w:val="0"/>
                <w:sz w:val="18"/>
                <w:szCs w:val="18"/>
              </w:rPr>
              <w:t>按照相关合同进度支付资金</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38B6">
            <w:pPr>
              <w:jc w:val="left"/>
              <w:rPr>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0E45">
            <w:pPr>
              <w:widowControl/>
              <w:jc w:val="left"/>
              <w:textAlignment w:val="center"/>
              <w:rPr>
                <w:color w:val="000000"/>
                <w:sz w:val="18"/>
                <w:szCs w:val="18"/>
              </w:rPr>
            </w:pPr>
            <w:r>
              <w:rPr>
                <w:color w:val="000000"/>
                <w:kern w:val="0"/>
                <w:sz w:val="18"/>
                <w:szCs w:val="18"/>
              </w:rPr>
              <w:t>5</w:t>
            </w:r>
          </w:p>
        </w:tc>
      </w:tr>
      <w:tr w14:paraId="5BC1876D">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6681">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36F6">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2FD4">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2BC9">
            <w:pPr>
              <w:widowControl/>
              <w:jc w:val="left"/>
              <w:textAlignment w:val="center"/>
              <w:rPr>
                <w:color w:val="000000"/>
                <w:sz w:val="18"/>
                <w:szCs w:val="18"/>
              </w:rPr>
            </w:pPr>
            <w:r>
              <w:rPr>
                <w:color w:val="000000"/>
                <w:kern w:val="0"/>
                <w:sz w:val="18"/>
                <w:szCs w:val="18"/>
              </w:rPr>
              <w:t>资金支付进度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43FF">
            <w:pPr>
              <w:widowControl/>
              <w:jc w:val="left"/>
              <w:textAlignment w:val="center"/>
              <w:rPr>
                <w:color w:val="000000"/>
                <w:sz w:val="18"/>
                <w:szCs w:val="18"/>
              </w:rPr>
            </w:pPr>
            <w:r>
              <w:rPr>
                <w:color w:val="000000"/>
                <w:kern w:val="0"/>
                <w:sz w:val="18"/>
                <w:szCs w:val="18"/>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A83B">
            <w:pPr>
              <w:widowControl/>
              <w:jc w:val="left"/>
              <w:textAlignment w:val="center"/>
              <w:rPr>
                <w:color w:val="000000"/>
                <w:sz w:val="18"/>
                <w:szCs w:val="18"/>
              </w:rPr>
            </w:pPr>
            <w:r>
              <w:rPr>
                <w:color w:val="000000"/>
                <w:kern w:val="0"/>
                <w:sz w:val="18"/>
                <w:szCs w:val="18"/>
              </w:rPr>
              <w:t>2023年12月31日</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439F">
            <w:pPr>
              <w:jc w:val="left"/>
              <w:rPr>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05D7">
            <w:pPr>
              <w:widowControl/>
              <w:jc w:val="left"/>
              <w:textAlignment w:val="center"/>
              <w:rPr>
                <w:color w:val="000000"/>
                <w:sz w:val="18"/>
                <w:szCs w:val="18"/>
              </w:rPr>
            </w:pPr>
            <w:r>
              <w:rPr>
                <w:color w:val="000000"/>
                <w:kern w:val="0"/>
                <w:sz w:val="18"/>
                <w:szCs w:val="18"/>
              </w:rPr>
              <w:t>5</w:t>
            </w:r>
          </w:p>
        </w:tc>
      </w:tr>
      <w:tr w14:paraId="29C0BCB4">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7E23">
            <w:pPr>
              <w:jc w:val="center"/>
              <w:rPr>
                <w:color w:val="000000"/>
                <w:sz w:val="18"/>
                <w:szCs w:val="18"/>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173B2">
            <w:pPr>
              <w:widowControl/>
              <w:jc w:val="left"/>
              <w:textAlignment w:val="center"/>
              <w:rPr>
                <w:color w:val="000000"/>
                <w:sz w:val="18"/>
                <w:szCs w:val="18"/>
              </w:rPr>
            </w:pPr>
            <w:r>
              <w:rPr>
                <w:color w:val="000000"/>
                <w:kern w:val="0"/>
                <w:sz w:val="18"/>
                <w:szCs w:val="18"/>
              </w:rPr>
              <w:t>效益指标</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CB476">
            <w:pPr>
              <w:widowControl/>
              <w:jc w:val="left"/>
              <w:textAlignment w:val="center"/>
              <w:rPr>
                <w:color w:val="000000"/>
                <w:sz w:val="18"/>
                <w:szCs w:val="18"/>
              </w:rPr>
            </w:pPr>
            <w:r>
              <w:rPr>
                <w:color w:val="000000"/>
                <w:kern w:val="0"/>
                <w:sz w:val="18"/>
                <w:szCs w:val="18"/>
              </w:rPr>
              <w:t>经济效益指标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252">
            <w:pPr>
              <w:widowControl/>
              <w:jc w:val="left"/>
              <w:textAlignment w:val="center"/>
              <w:rPr>
                <w:color w:val="000000"/>
                <w:sz w:val="18"/>
                <w:szCs w:val="18"/>
              </w:rPr>
            </w:pPr>
            <w:r>
              <w:rPr>
                <w:color w:val="000000"/>
                <w:kern w:val="0"/>
                <w:sz w:val="18"/>
                <w:szCs w:val="18"/>
              </w:rPr>
              <w:t>全市规上工业企业实现营业收入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083">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BE40">
            <w:pPr>
              <w:widowControl/>
              <w:jc w:val="left"/>
              <w:textAlignment w:val="center"/>
              <w:rPr>
                <w:color w:val="000000"/>
                <w:sz w:val="18"/>
                <w:szCs w:val="18"/>
              </w:rPr>
            </w:pPr>
            <w:r>
              <w:rPr>
                <w:color w:val="000000"/>
                <w:kern w:val="0"/>
                <w:sz w:val="18"/>
                <w:szCs w:val="18"/>
              </w:rPr>
              <w:t>1600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1430">
            <w:pPr>
              <w:widowControl/>
              <w:jc w:val="left"/>
              <w:textAlignment w:val="center"/>
              <w:rPr>
                <w:color w:val="000000"/>
                <w:sz w:val="18"/>
                <w:szCs w:val="18"/>
              </w:rPr>
            </w:pPr>
            <w:r>
              <w:rPr>
                <w:color w:val="000000"/>
                <w:kern w:val="0"/>
                <w:sz w:val="18"/>
                <w:szCs w:val="18"/>
              </w:rPr>
              <w:t>亿元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4DCE">
            <w:pPr>
              <w:widowControl/>
              <w:jc w:val="left"/>
              <w:textAlignment w:val="center"/>
              <w:rPr>
                <w:color w:val="000000"/>
                <w:sz w:val="18"/>
                <w:szCs w:val="18"/>
              </w:rPr>
            </w:pPr>
            <w:r>
              <w:rPr>
                <w:color w:val="000000"/>
                <w:kern w:val="0"/>
                <w:sz w:val="18"/>
                <w:szCs w:val="18"/>
              </w:rPr>
              <w:t>5</w:t>
            </w:r>
          </w:p>
        </w:tc>
      </w:tr>
      <w:tr w14:paraId="070056A6">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69B3">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C08E">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29AF">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1B37">
            <w:pPr>
              <w:widowControl/>
              <w:jc w:val="left"/>
              <w:textAlignment w:val="center"/>
              <w:rPr>
                <w:color w:val="000000"/>
                <w:sz w:val="18"/>
                <w:szCs w:val="18"/>
              </w:rPr>
            </w:pPr>
            <w:r>
              <w:rPr>
                <w:color w:val="000000"/>
                <w:kern w:val="0"/>
                <w:sz w:val="18"/>
                <w:szCs w:val="18"/>
              </w:rPr>
              <w:t xml:space="preserve">规上工业增加值增速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94A5">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BDA7">
            <w:pPr>
              <w:widowControl/>
              <w:jc w:val="left"/>
              <w:textAlignment w:val="center"/>
              <w:rPr>
                <w:color w:val="000000"/>
                <w:sz w:val="18"/>
                <w:szCs w:val="18"/>
              </w:rPr>
            </w:pPr>
            <w:r>
              <w:rPr>
                <w:color w:val="000000"/>
                <w:kern w:val="0"/>
                <w:sz w:val="18"/>
                <w:szCs w:val="18"/>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7165">
            <w:pPr>
              <w:widowControl/>
              <w:jc w:val="left"/>
              <w:textAlignment w:val="center"/>
              <w:rPr>
                <w:color w:val="000000"/>
                <w:sz w:val="18"/>
                <w:szCs w:val="18"/>
              </w:rPr>
            </w:pPr>
            <w:r>
              <w:rPr>
                <w:color w:val="000000"/>
                <w:kern w:val="0"/>
                <w:sz w:val="18"/>
                <w:szCs w:val="18"/>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356A">
            <w:pPr>
              <w:widowControl/>
              <w:jc w:val="left"/>
              <w:textAlignment w:val="center"/>
              <w:rPr>
                <w:color w:val="000000"/>
                <w:sz w:val="18"/>
                <w:szCs w:val="18"/>
              </w:rPr>
            </w:pPr>
            <w:r>
              <w:rPr>
                <w:color w:val="000000"/>
                <w:kern w:val="0"/>
                <w:sz w:val="18"/>
                <w:szCs w:val="18"/>
              </w:rPr>
              <w:t>5</w:t>
            </w:r>
          </w:p>
        </w:tc>
      </w:tr>
      <w:tr w14:paraId="53676B7E">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A7F4">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D2CD">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8CFE">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C464">
            <w:pPr>
              <w:widowControl/>
              <w:jc w:val="left"/>
              <w:textAlignment w:val="center"/>
              <w:rPr>
                <w:color w:val="000000"/>
                <w:sz w:val="18"/>
                <w:szCs w:val="18"/>
              </w:rPr>
            </w:pPr>
            <w:r>
              <w:rPr>
                <w:color w:val="000000"/>
                <w:kern w:val="0"/>
                <w:sz w:val="18"/>
                <w:szCs w:val="18"/>
              </w:rPr>
              <w:t>全市产业园区营业收入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72F">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C71">
            <w:pPr>
              <w:widowControl/>
              <w:jc w:val="left"/>
              <w:textAlignment w:val="center"/>
              <w:rPr>
                <w:color w:val="000000"/>
                <w:sz w:val="18"/>
                <w:szCs w:val="18"/>
              </w:rPr>
            </w:pPr>
            <w:r>
              <w:rPr>
                <w:color w:val="000000"/>
                <w:kern w:val="0"/>
                <w:sz w:val="18"/>
                <w:szCs w:val="18"/>
              </w:rPr>
              <w:t>3000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24C">
            <w:pPr>
              <w:widowControl/>
              <w:jc w:val="left"/>
              <w:textAlignment w:val="center"/>
              <w:rPr>
                <w:color w:val="000000"/>
                <w:sz w:val="18"/>
                <w:szCs w:val="18"/>
              </w:rPr>
            </w:pPr>
            <w:r>
              <w:rPr>
                <w:color w:val="000000"/>
                <w:kern w:val="0"/>
                <w:sz w:val="18"/>
                <w:szCs w:val="18"/>
              </w:rPr>
              <w:t>亿元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1C22">
            <w:pPr>
              <w:widowControl/>
              <w:jc w:val="left"/>
              <w:textAlignment w:val="center"/>
              <w:rPr>
                <w:color w:val="000000"/>
                <w:sz w:val="18"/>
                <w:szCs w:val="18"/>
              </w:rPr>
            </w:pPr>
            <w:r>
              <w:rPr>
                <w:color w:val="000000"/>
                <w:kern w:val="0"/>
                <w:sz w:val="18"/>
                <w:szCs w:val="18"/>
              </w:rPr>
              <w:t>5</w:t>
            </w:r>
          </w:p>
        </w:tc>
      </w:tr>
      <w:tr w14:paraId="4AA689D8">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91F4">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F053">
            <w:pPr>
              <w:jc w:val="left"/>
              <w:rPr>
                <w:color w:val="000000"/>
                <w:sz w:val="18"/>
                <w:szCs w:val="18"/>
              </w:rPr>
            </w:pP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A4D39">
            <w:pPr>
              <w:widowControl/>
              <w:jc w:val="left"/>
              <w:textAlignment w:val="center"/>
              <w:rPr>
                <w:color w:val="000000"/>
                <w:sz w:val="18"/>
                <w:szCs w:val="18"/>
              </w:rPr>
            </w:pPr>
            <w:r>
              <w:rPr>
                <w:color w:val="000000"/>
                <w:kern w:val="0"/>
                <w:sz w:val="18"/>
                <w:szCs w:val="18"/>
              </w:rPr>
              <w:t>社会效益指标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DEBC">
            <w:pPr>
              <w:widowControl/>
              <w:jc w:val="left"/>
              <w:textAlignment w:val="center"/>
              <w:rPr>
                <w:color w:val="000000"/>
                <w:sz w:val="18"/>
                <w:szCs w:val="18"/>
              </w:rPr>
            </w:pPr>
            <w:r>
              <w:rPr>
                <w:color w:val="000000"/>
                <w:kern w:val="0"/>
                <w:sz w:val="18"/>
                <w:szCs w:val="18"/>
              </w:rPr>
              <w:t>全市规上工业企业营业收入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0123">
            <w:pPr>
              <w:widowControl/>
              <w:jc w:val="left"/>
              <w:textAlignment w:val="center"/>
              <w:rPr>
                <w:color w:val="000000"/>
                <w:sz w:val="18"/>
                <w:szCs w:val="18"/>
              </w:rPr>
            </w:pPr>
            <w:r>
              <w:rPr>
                <w:color w:val="000000"/>
                <w:kern w:val="0"/>
                <w:sz w:val="18"/>
                <w:szCs w:val="18"/>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3E28">
            <w:pPr>
              <w:widowControl/>
              <w:jc w:val="left"/>
              <w:textAlignment w:val="center"/>
              <w:rPr>
                <w:color w:val="000000"/>
                <w:sz w:val="18"/>
                <w:szCs w:val="18"/>
              </w:rPr>
            </w:pPr>
            <w:r>
              <w:rPr>
                <w:color w:val="000000"/>
                <w:kern w:val="0"/>
                <w:sz w:val="18"/>
                <w:szCs w:val="18"/>
              </w:rPr>
              <w:t>进一步增加</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7FE0">
            <w:pPr>
              <w:jc w:val="left"/>
              <w:rPr>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C02D">
            <w:pPr>
              <w:widowControl/>
              <w:jc w:val="left"/>
              <w:textAlignment w:val="center"/>
              <w:rPr>
                <w:color w:val="000000"/>
                <w:sz w:val="18"/>
                <w:szCs w:val="18"/>
              </w:rPr>
            </w:pPr>
            <w:r>
              <w:rPr>
                <w:color w:val="000000"/>
                <w:kern w:val="0"/>
                <w:sz w:val="18"/>
                <w:szCs w:val="18"/>
              </w:rPr>
              <w:t>4</w:t>
            </w:r>
          </w:p>
        </w:tc>
      </w:tr>
      <w:tr w14:paraId="2DEFC719">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AB26">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BD34">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C251">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2DB">
            <w:pPr>
              <w:widowControl/>
              <w:jc w:val="left"/>
              <w:textAlignment w:val="center"/>
              <w:rPr>
                <w:color w:val="000000"/>
                <w:sz w:val="18"/>
                <w:szCs w:val="18"/>
              </w:rPr>
            </w:pPr>
            <w:r>
              <w:rPr>
                <w:color w:val="000000"/>
                <w:kern w:val="0"/>
                <w:sz w:val="18"/>
                <w:szCs w:val="18"/>
              </w:rPr>
              <w:t>维护全市无线电秩序，全年开展无线点频谱监测次数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0D7">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AED7">
            <w:pPr>
              <w:widowControl/>
              <w:jc w:val="left"/>
              <w:textAlignment w:val="center"/>
              <w:rPr>
                <w:color w:val="000000"/>
                <w:sz w:val="18"/>
                <w:szCs w:val="18"/>
              </w:rPr>
            </w:pPr>
            <w:r>
              <w:rPr>
                <w:color w:val="000000"/>
                <w:kern w:val="0"/>
                <w:sz w:val="18"/>
                <w:szCs w:val="18"/>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F51C">
            <w:pPr>
              <w:widowControl/>
              <w:jc w:val="left"/>
              <w:textAlignment w:val="center"/>
              <w:rPr>
                <w:color w:val="000000"/>
                <w:sz w:val="18"/>
                <w:szCs w:val="18"/>
              </w:rPr>
            </w:pPr>
            <w:r>
              <w:rPr>
                <w:color w:val="000000"/>
                <w:kern w:val="0"/>
                <w:sz w:val="18"/>
                <w:szCs w:val="18"/>
              </w:rPr>
              <w:t>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04A8">
            <w:pPr>
              <w:widowControl/>
              <w:jc w:val="left"/>
              <w:textAlignment w:val="center"/>
              <w:rPr>
                <w:color w:val="000000"/>
                <w:sz w:val="18"/>
                <w:szCs w:val="18"/>
              </w:rPr>
            </w:pPr>
            <w:r>
              <w:rPr>
                <w:color w:val="000000"/>
                <w:kern w:val="0"/>
                <w:sz w:val="18"/>
                <w:szCs w:val="18"/>
              </w:rPr>
              <w:t>4</w:t>
            </w:r>
          </w:p>
        </w:tc>
      </w:tr>
      <w:tr w14:paraId="23E0A5B9">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252D">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1A00">
            <w:pPr>
              <w:jc w:val="left"/>
              <w:rPr>
                <w:color w:val="000000"/>
                <w:sz w:val="18"/>
                <w:szCs w:val="18"/>
              </w:rPr>
            </w:pP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CA29C">
            <w:pPr>
              <w:widowControl/>
              <w:jc w:val="left"/>
              <w:textAlignment w:val="center"/>
              <w:rPr>
                <w:color w:val="000000"/>
                <w:sz w:val="18"/>
                <w:szCs w:val="18"/>
              </w:rPr>
            </w:pPr>
            <w:r>
              <w:rPr>
                <w:color w:val="000000"/>
                <w:kern w:val="0"/>
                <w:sz w:val="18"/>
                <w:szCs w:val="18"/>
              </w:rPr>
              <w:t>生态效益指标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8EF">
            <w:pPr>
              <w:widowControl/>
              <w:jc w:val="left"/>
              <w:textAlignment w:val="center"/>
              <w:rPr>
                <w:color w:val="000000"/>
                <w:sz w:val="18"/>
                <w:szCs w:val="18"/>
              </w:rPr>
            </w:pPr>
            <w:r>
              <w:rPr>
                <w:color w:val="000000"/>
                <w:kern w:val="0"/>
                <w:sz w:val="18"/>
                <w:szCs w:val="18"/>
              </w:rPr>
              <w:t>完成全年淘汰落后产能目标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F6F">
            <w:pPr>
              <w:widowControl/>
              <w:jc w:val="left"/>
              <w:textAlignment w:val="center"/>
              <w:rPr>
                <w:color w:val="000000"/>
                <w:sz w:val="18"/>
                <w:szCs w:val="18"/>
              </w:rPr>
            </w:pPr>
            <w:r>
              <w:rPr>
                <w:color w:val="000000"/>
                <w:kern w:val="0"/>
                <w:sz w:val="18"/>
                <w:szCs w:val="18"/>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3AA7">
            <w:pPr>
              <w:widowControl/>
              <w:jc w:val="left"/>
              <w:textAlignment w:val="center"/>
              <w:rPr>
                <w:color w:val="000000"/>
                <w:sz w:val="18"/>
                <w:szCs w:val="18"/>
              </w:rPr>
            </w:pPr>
            <w:r>
              <w:rPr>
                <w:color w:val="000000"/>
                <w:kern w:val="0"/>
                <w:sz w:val="18"/>
                <w:szCs w:val="18"/>
              </w:rPr>
              <w:t>完成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F508">
            <w:pPr>
              <w:jc w:val="left"/>
              <w:rPr>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FCB">
            <w:pPr>
              <w:widowControl/>
              <w:jc w:val="left"/>
              <w:textAlignment w:val="center"/>
              <w:rPr>
                <w:color w:val="000000"/>
                <w:sz w:val="18"/>
                <w:szCs w:val="18"/>
              </w:rPr>
            </w:pPr>
            <w:r>
              <w:rPr>
                <w:color w:val="000000"/>
                <w:kern w:val="0"/>
                <w:sz w:val="18"/>
                <w:szCs w:val="18"/>
              </w:rPr>
              <w:t>4</w:t>
            </w:r>
          </w:p>
        </w:tc>
      </w:tr>
      <w:tr w14:paraId="43BBF750">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9018">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C5A0">
            <w:pPr>
              <w:jc w:val="left"/>
              <w:rPr>
                <w:color w:val="000000"/>
                <w:sz w:val="18"/>
                <w:szCs w:val="18"/>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D761">
            <w:pPr>
              <w:jc w:val="left"/>
              <w:rPr>
                <w:color w:val="000000"/>
                <w:sz w:val="18"/>
                <w:szCs w:val="1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D883">
            <w:pPr>
              <w:widowControl/>
              <w:jc w:val="left"/>
              <w:textAlignment w:val="center"/>
              <w:rPr>
                <w:color w:val="000000"/>
                <w:sz w:val="18"/>
                <w:szCs w:val="18"/>
              </w:rPr>
            </w:pPr>
            <w:r>
              <w:rPr>
                <w:color w:val="000000"/>
                <w:kern w:val="0"/>
                <w:sz w:val="18"/>
                <w:szCs w:val="18"/>
              </w:rPr>
              <w:t>推动全市工业企业创建绿色工厂，创建省级以上绿色工厂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F67B">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8D68">
            <w:pPr>
              <w:widowControl/>
              <w:jc w:val="left"/>
              <w:textAlignment w:val="center"/>
              <w:rPr>
                <w:color w:val="000000"/>
                <w:sz w:val="18"/>
                <w:szCs w:val="18"/>
              </w:rPr>
            </w:pPr>
            <w:r>
              <w:rPr>
                <w:color w:val="000000"/>
                <w:kern w:val="0"/>
                <w:sz w:val="18"/>
                <w:szCs w:val="18"/>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7443">
            <w:pPr>
              <w:widowControl/>
              <w:jc w:val="left"/>
              <w:textAlignment w:val="center"/>
              <w:rPr>
                <w:color w:val="000000"/>
                <w:sz w:val="18"/>
                <w:szCs w:val="18"/>
              </w:rPr>
            </w:pPr>
            <w:r>
              <w:rPr>
                <w:color w:val="000000"/>
                <w:kern w:val="0"/>
                <w:sz w:val="18"/>
                <w:szCs w:val="18"/>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3E0B">
            <w:pPr>
              <w:widowControl/>
              <w:jc w:val="left"/>
              <w:textAlignment w:val="center"/>
              <w:rPr>
                <w:color w:val="000000"/>
                <w:sz w:val="18"/>
                <w:szCs w:val="18"/>
              </w:rPr>
            </w:pPr>
            <w:r>
              <w:rPr>
                <w:color w:val="000000"/>
                <w:kern w:val="0"/>
                <w:sz w:val="18"/>
                <w:szCs w:val="18"/>
              </w:rPr>
              <w:t>4</w:t>
            </w:r>
          </w:p>
        </w:tc>
      </w:tr>
      <w:tr w14:paraId="359C8E74">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4D7E">
            <w:pPr>
              <w:jc w:val="center"/>
              <w:rPr>
                <w:color w:val="000000"/>
                <w:sz w:val="18"/>
                <w:szCs w:val="18"/>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07F7">
            <w:pPr>
              <w:jc w:val="left"/>
              <w:rPr>
                <w:color w:val="000000"/>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E526">
            <w:pPr>
              <w:widowControl/>
              <w:jc w:val="left"/>
              <w:textAlignment w:val="center"/>
              <w:rPr>
                <w:color w:val="000000"/>
                <w:sz w:val="18"/>
                <w:szCs w:val="18"/>
              </w:rPr>
            </w:pPr>
            <w:r>
              <w:rPr>
                <w:color w:val="000000"/>
                <w:kern w:val="0"/>
                <w:sz w:val="18"/>
                <w:szCs w:val="18"/>
              </w:rPr>
              <w:t>可持续影响指标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BE47">
            <w:pPr>
              <w:widowControl/>
              <w:jc w:val="left"/>
              <w:textAlignment w:val="center"/>
              <w:rPr>
                <w:color w:val="000000"/>
                <w:sz w:val="18"/>
                <w:szCs w:val="18"/>
              </w:rPr>
            </w:pPr>
            <w:r>
              <w:rPr>
                <w:color w:val="000000"/>
                <w:kern w:val="0"/>
                <w:sz w:val="18"/>
                <w:szCs w:val="18"/>
              </w:rPr>
              <w:t>绩效管理工作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285C">
            <w:pPr>
              <w:widowControl/>
              <w:jc w:val="left"/>
              <w:textAlignment w:val="center"/>
              <w:rPr>
                <w:color w:val="000000"/>
                <w:sz w:val="18"/>
                <w:szCs w:val="18"/>
              </w:rPr>
            </w:pPr>
            <w:r>
              <w:rPr>
                <w:color w:val="000000"/>
                <w:kern w:val="0"/>
                <w:sz w:val="18"/>
                <w:szCs w:val="18"/>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4090">
            <w:pPr>
              <w:widowControl/>
              <w:jc w:val="left"/>
              <w:textAlignment w:val="center"/>
              <w:rPr>
                <w:color w:val="000000"/>
                <w:sz w:val="18"/>
                <w:szCs w:val="18"/>
              </w:rPr>
            </w:pPr>
            <w:r>
              <w:rPr>
                <w:color w:val="000000"/>
                <w:kern w:val="0"/>
                <w:sz w:val="18"/>
                <w:szCs w:val="18"/>
              </w:rPr>
              <w:t>全过程绩效预算管理</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458">
            <w:pPr>
              <w:jc w:val="left"/>
              <w:rPr>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106">
            <w:pPr>
              <w:widowControl/>
              <w:jc w:val="left"/>
              <w:textAlignment w:val="center"/>
              <w:rPr>
                <w:color w:val="000000"/>
                <w:sz w:val="18"/>
                <w:szCs w:val="18"/>
              </w:rPr>
            </w:pPr>
            <w:r>
              <w:rPr>
                <w:color w:val="000000"/>
                <w:kern w:val="0"/>
                <w:sz w:val="18"/>
                <w:szCs w:val="18"/>
              </w:rPr>
              <w:t>4</w:t>
            </w:r>
          </w:p>
        </w:tc>
      </w:tr>
      <w:tr w14:paraId="3FB55056">
        <w:tblPrEx>
          <w:tblCellMar>
            <w:top w:w="0" w:type="dxa"/>
            <w:left w:w="108" w:type="dxa"/>
            <w:bottom w:w="0" w:type="dxa"/>
            <w:right w:w="108" w:type="dxa"/>
          </w:tblCellMar>
        </w:tblPrEx>
        <w:trPr>
          <w:trHeight w:val="569"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D310">
            <w:pPr>
              <w:jc w:val="center"/>
              <w:rPr>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7EF6">
            <w:pPr>
              <w:widowControl/>
              <w:jc w:val="left"/>
              <w:textAlignment w:val="center"/>
              <w:rPr>
                <w:color w:val="000000"/>
                <w:sz w:val="18"/>
                <w:szCs w:val="18"/>
              </w:rPr>
            </w:pPr>
            <w:r>
              <w:rPr>
                <w:color w:val="000000"/>
                <w:kern w:val="0"/>
                <w:sz w:val="18"/>
                <w:szCs w:val="18"/>
              </w:rPr>
              <w:t>满意度指标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7453">
            <w:pPr>
              <w:widowControl/>
              <w:jc w:val="left"/>
              <w:textAlignment w:val="center"/>
              <w:rPr>
                <w:color w:val="000000"/>
                <w:sz w:val="18"/>
                <w:szCs w:val="18"/>
              </w:rPr>
            </w:pPr>
            <w:r>
              <w:rPr>
                <w:color w:val="000000"/>
                <w:kern w:val="0"/>
                <w:sz w:val="18"/>
                <w:szCs w:val="18"/>
              </w:rPr>
              <w:t>满意度指标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C4EF">
            <w:pPr>
              <w:widowControl/>
              <w:jc w:val="left"/>
              <w:textAlignment w:val="center"/>
              <w:rPr>
                <w:color w:val="000000"/>
                <w:sz w:val="18"/>
                <w:szCs w:val="18"/>
              </w:rPr>
            </w:pPr>
            <w:r>
              <w:rPr>
                <w:color w:val="000000"/>
                <w:kern w:val="0"/>
                <w:sz w:val="18"/>
                <w:szCs w:val="18"/>
              </w:rPr>
              <w:t>服务对象满意度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CDC0">
            <w:pPr>
              <w:widowControl/>
              <w:jc w:val="left"/>
              <w:textAlignment w:val="center"/>
              <w:rPr>
                <w:color w:val="000000"/>
                <w:sz w:val="18"/>
                <w:szCs w:val="18"/>
              </w:rPr>
            </w:pPr>
            <w:r>
              <w:rPr>
                <w:color w:val="000000"/>
                <w:kern w:val="0"/>
                <w:sz w:val="18"/>
                <w:szCs w:val="18"/>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A4B9">
            <w:pPr>
              <w:widowControl/>
              <w:jc w:val="left"/>
              <w:textAlignment w:val="center"/>
              <w:rPr>
                <w:color w:val="000000"/>
                <w:sz w:val="18"/>
                <w:szCs w:val="18"/>
              </w:rPr>
            </w:pPr>
            <w:r>
              <w:rPr>
                <w:color w:val="000000"/>
                <w:kern w:val="0"/>
                <w:sz w:val="18"/>
                <w:szCs w:val="18"/>
              </w:rPr>
              <w:t>90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05A3">
            <w:pPr>
              <w:widowControl/>
              <w:jc w:val="left"/>
              <w:textAlignment w:val="center"/>
              <w:rPr>
                <w:color w:val="000000"/>
                <w:sz w:val="18"/>
                <w:szCs w:val="18"/>
              </w:rPr>
            </w:pPr>
            <w:r>
              <w:rPr>
                <w:color w:val="000000"/>
                <w:kern w:val="0"/>
                <w:sz w:val="18"/>
                <w:szCs w:val="18"/>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C36">
            <w:pPr>
              <w:widowControl/>
              <w:jc w:val="left"/>
              <w:textAlignment w:val="center"/>
              <w:rPr>
                <w:color w:val="000000"/>
                <w:sz w:val="18"/>
                <w:szCs w:val="18"/>
              </w:rPr>
            </w:pPr>
            <w:r>
              <w:rPr>
                <w:color w:val="000000"/>
                <w:kern w:val="0"/>
                <w:sz w:val="18"/>
                <w:szCs w:val="18"/>
              </w:rPr>
              <w:t>5</w:t>
            </w:r>
          </w:p>
        </w:tc>
      </w:tr>
      <w:tr w14:paraId="6B4FADC8">
        <w:tblPrEx>
          <w:tblCellMar>
            <w:top w:w="0" w:type="dxa"/>
            <w:left w:w="108" w:type="dxa"/>
            <w:bottom w:w="0" w:type="dxa"/>
            <w:right w:w="108" w:type="dxa"/>
          </w:tblCellMar>
        </w:tblPrEx>
        <w:trPr>
          <w:trHeight w:val="678" w:hRule="atLeast"/>
        </w:trPr>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016E">
            <w:pPr>
              <w:jc w:val="center"/>
              <w:rPr>
                <w:color w:val="000000"/>
                <w:sz w:val="18"/>
                <w:szCs w:val="18"/>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FA8A">
            <w:pPr>
              <w:widowControl/>
              <w:jc w:val="left"/>
              <w:textAlignment w:val="center"/>
              <w:rPr>
                <w:color w:val="000000"/>
                <w:sz w:val="18"/>
                <w:szCs w:val="18"/>
              </w:rPr>
            </w:pPr>
            <w:r>
              <w:rPr>
                <w:color w:val="000000"/>
                <w:kern w:val="0"/>
                <w:sz w:val="18"/>
                <w:szCs w:val="18"/>
              </w:rPr>
              <w:t>成本指标</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AC29">
            <w:pPr>
              <w:widowControl/>
              <w:jc w:val="left"/>
              <w:textAlignment w:val="center"/>
              <w:rPr>
                <w:color w:val="000000"/>
                <w:sz w:val="18"/>
                <w:szCs w:val="18"/>
              </w:rPr>
            </w:pPr>
            <w:r>
              <w:rPr>
                <w:color w:val="000000"/>
                <w:kern w:val="0"/>
                <w:sz w:val="18"/>
                <w:szCs w:val="18"/>
              </w:rPr>
              <w:t>经济成本指标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F045">
            <w:pPr>
              <w:widowControl/>
              <w:jc w:val="left"/>
              <w:textAlignment w:val="center"/>
              <w:rPr>
                <w:color w:val="000000"/>
                <w:sz w:val="18"/>
                <w:szCs w:val="18"/>
              </w:rPr>
            </w:pPr>
            <w:r>
              <w:rPr>
                <w:color w:val="000000"/>
                <w:kern w:val="0"/>
                <w:sz w:val="18"/>
                <w:szCs w:val="18"/>
              </w:rPr>
              <w:t>机关运行及特定目标任务成本</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33B4">
            <w:pPr>
              <w:widowControl/>
              <w:jc w:val="left"/>
              <w:textAlignment w:val="center"/>
              <w:rPr>
                <w:color w:val="000000"/>
                <w:sz w:val="18"/>
                <w:szCs w:val="18"/>
              </w:rPr>
            </w:pPr>
            <w:r>
              <w:rPr>
                <w:color w:val="000000"/>
                <w:kern w:val="0"/>
                <w:sz w:val="18"/>
                <w:szCs w:val="18"/>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6B5A">
            <w:pPr>
              <w:widowControl/>
              <w:jc w:val="left"/>
              <w:textAlignment w:val="center"/>
              <w:rPr>
                <w:color w:val="000000"/>
                <w:sz w:val="18"/>
                <w:szCs w:val="18"/>
              </w:rPr>
            </w:pPr>
            <w:r>
              <w:rPr>
                <w:color w:val="000000"/>
                <w:kern w:val="0"/>
                <w:sz w:val="18"/>
                <w:szCs w:val="18"/>
              </w:rPr>
              <w:t>严</w:t>
            </w:r>
            <w:r>
              <w:rPr>
                <w:rFonts w:hint="eastAsia"/>
                <w:color w:val="000000"/>
                <w:kern w:val="0"/>
                <w:sz w:val="18"/>
                <w:szCs w:val="18"/>
                <w:lang w:val="en-US" w:eastAsia="zh-CN"/>
              </w:rPr>
              <w:t>格</w:t>
            </w:r>
            <w:bookmarkStart w:id="162" w:name="_GoBack"/>
            <w:bookmarkEnd w:id="162"/>
            <w:r>
              <w:rPr>
                <w:color w:val="000000"/>
                <w:kern w:val="0"/>
                <w:sz w:val="18"/>
                <w:szCs w:val="18"/>
              </w:rPr>
              <w:t>控制一般性支出规模，严格将支出控制在预算内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33D">
            <w:pPr>
              <w:jc w:val="left"/>
              <w:rPr>
                <w:color w:val="000000"/>
                <w:sz w:val="18"/>
                <w:szCs w:val="18"/>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161">
            <w:pPr>
              <w:widowControl/>
              <w:jc w:val="left"/>
              <w:textAlignment w:val="center"/>
              <w:rPr>
                <w:color w:val="000000"/>
                <w:sz w:val="18"/>
                <w:szCs w:val="18"/>
              </w:rPr>
            </w:pPr>
            <w:r>
              <w:rPr>
                <w:color w:val="000000"/>
                <w:kern w:val="0"/>
                <w:sz w:val="18"/>
                <w:szCs w:val="18"/>
              </w:rPr>
              <w:t>5</w:t>
            </w:r>
          </w:p>
        </w:tc>
      </w:tr>
    </w:tbl>
    <w:p w14:paraId="3641A43E">
      <w:pPr>
        <w:pStyle w:val="8"/>
        <w:spacing w:before="93"/>
        <w:rPr>
          <w:rFonts w:ascii="Times New Roman"/>
          <w:color w:val="FF0000"/>
          <w:sz w:val="32"/>
          <w:szCs w:val="32"/>
          <w:highlight w:val="yellow"/>
          <w:shd w:val="clear" w:color="auto" w:fill="FFFFFF"/>
          <w:lang w:val="zh-CN"/>
        </w:rPr>
      </w:pPr>
    </w:p>
    <w:p w14:paraId="18FC4436">
      <w:pPr>
        <w:rPr>
          <w:rFonts w:eastAsia="黑体"/>
          <w:kern w:val="0"/>
          <w:sz w:val="32"/>
          <w:szCs w:val="32"/>
          <w:shd w:val="clear" w:color="auto" w:fill="FFFFFF"/>
          <w:lang w:val="zh-CN"/>
        </w:rPr>
      </w:pPr>
      <w:r>
        <w:rPr>
          <w:rFonts w:eastAsia="黑体"/>
          <w:kern w:val="0"/>
          <w:sz w:val="32"/>
          <w:szCs w:val="32"/>
          <w:shd w:val="clear" w:color="auto" w:fill="FFFFFF"/>
          <w:lang w:val="zh-CN"/>
        </w:rPr>
        <w:br w:type="page"/>
      </w:r>
    </w:p>
    <w:p w14:paraId="3BA90E99">
      <w:pPr>
        <w:widowControl/>
        <w:jc w:val="center"/>
        <w:outlineLvl w:val="0"/>
        <w:rPr>
          <w:rFonts w:eastAsia="仿宋"/>
        </w:rPr>
      </w:pPr>
      <w:bookmarkStart w:id="146" w:name="_Toc18724"/>
      <w:bookmarkStart w:id="147" w:name="_Toc15396618"/>
      <w:bookmarkStart w:id="148" w:name="_Toc29982"/>
      <w:r>
        <w:rPr>
          <w:rFonts w:eastAsia="黑体"/>
          <w:sz w:val="44"/>
          <w:szCs w:val="44"/>
        </w:rPr>
        <w:t>第</w:t>
      </w:r>
      <w:r>
        <w:rPr>
          <w:rStyle w:val="33"/>
          <w:rFonts w:eastAsia="黑体"/>
          <w:b w:val="0"/>
        </w:rPr>
        <w:t>五部分 附表</w:t>
      </w:r>
      <w:bookmarkEnd w:id="108"/>
      <w:bookmarkEnd w:id="146"/>
      <w:bookmarkEnd w:id="147"/>
      <w:bookmarkEnd w:id="148"/>
      <w:bookmarkStart w:id="149" w:name="_Toc15396619"/>
    </w:p>
    <w:p w14:paraId="4BDE7C74">
      <w:pPr>
        <w:pStyle w:val="17"/>
        <w:adjustRightInd w:val="0"/>
        <w:snapToGrid w:val="0"/>
        <w:spacing w:line="560" w:lineRule="exact"/>
        <w:jc w:val="left"/>
        <w:rPr>
          <w:rFonts w:eastAsia="仿宋_GB2312"/>
          <w:sz w:val="32"/>
          <w:szCs w:val="32"/>
        </w:rPr>
      </w:pPr>
    </w:p>
    <w:p w14:paraId="200B8208">
      <w:pPr>
        <w:pStyle w:val="17"/>
        <w:adjustRightInd w:val="0"/>
        <w:snapToGrid w:val="0"/>
        <w:spacing w:line="560" w:lineRule="exact"/>
        <w:jc w:val="left"/>
        <w:rPr>
          <w:rFonts w:eastAsia="仿宋_GB2312"/>
          <w:sz w:val="32"/>
          <w:szCs w:val="32"/>
        </w:rPr>
      </w:pPr>
      <w:r>
        <w:rPr>
          <w:rFonts w:eastAsia="仿宋_GB2312"/>
          <w:sz w:val="32"/>
          <w:szCs w:val="32"/>
        </w:rPr>
        <w:t>一、收入支出决算总表</w:t>
      </w:r>
      <w:bookmarkEnd w:id="149"/>
    </w:p>
    <w:p w14:paraId="38380CD0">
      <w:pPr>
        <w:pStyle w:val="17"/>
        <w:adjustRightInd w:val="0"/>
        <w:snapToGrid w:val="0"/>
        <w:spacing w:line="560" w:lineRule="exact"/>
        <w:jc w:val="left"/>
        <w:rPr>
          <w:rFonts w:eastAsia="仿宋_GB2312"/>
          <w:sz w:val="32"/>
          <w:szCs w:val="32"/>
        </w:rPr>
      </w:pPr>
      <w:bookmarkStart w:id="150" w:name="_Toc15396620"/>
      <w:r>
        <w:rPr>
          <w:rFonts w:eastAsia="仿宋_GB2312"/>
          <w:sz w:val="32"/>
          <w:szCs w:val="32"/>
        </w:rPr>
        <w:t>二、收入决算表</w:t>
      </w:r>
      <w:bookmarkEnd w:id="150"/>
    </w:p>
    <w:p w14:paraId="1B8C2EC7">
      <w:pPr>
        <w:pStyle w:val="17"/>
        <w:adjustRightInd w:val="0"/>
        <w:snapToGrid w:val="0"/>
        <w:spacing w:line="560" w:lineRule="exact"/>
        <w:jc w:val="left"/>
        <w:rPr>
          <w:rFonts w:eastAsia="仿宋_GB2312"/>
          <w:sz w:val="32"/>
          <w:szCs w:val="32"/>
        </w:rPr>
      </w:pPr>
      <w:bookmarkStart w:id="151" w:name="_Toc15396621"/>
      <w:r>
        <w:rPr>
          <w:rFonts w:eastAsia="仿宋_GB2312"/>
          <w:sz w:val="32"/>
          <w:szCs w:val="32"/>
        </w:rPr>
        <w:t>三、支出决算表</w:t>
      </w:r>
      <w:bookmarkEnd w:id="151"/>
    </w:p>
    <w:p w14:paraId="09740989">
      <w:pPr>
        <w:pStyle w:val="17"/>
        <w:adjustRightInd w:val="0"/>
        <w:snapToGrid w:val="0"/>
        <w:spacing w:line="560" w:lineRule="exact"/>
        <w:jc w:val="left"/>
        <w:rPr>
          <w:rFonts w:eastAsia="仿宋_GB2312"/>
          <w:sz w:val="32"/>
          <w:szCs w:val="32"/>
        </w:rPr>
      </w:pPr>
      <w:bookmarkStart w:id="152" w:name="_Toc15396622"/>
      <w:r>
        <w:rPr>
          <w:rFonts w:eastAsia="仿宋_GB2312"/>
          <w:sz w:val="32"/>
          <w:szCs w:val="32"/>
        </w:rPr>
        <w:t>四、财政拨款收入支出决算总表</w:t>
      </w:r>
      <w:bookmarkEnd w:id="152"/>
    </w:p>
    <w:p w14:paraId="732D2F1E">
      <w:pPr>
        <w:pStyle w:val="17"/>
        <w:adjustRightInd w:val="0"/>
        <w:snapToGrid w:val="0"/>
        <w:spacing w:line="560" w:lineRule="exact"/>
        <w:jc w:val="left"/>
        <w:rPr>
          <w:rFonts w:eastAsia="仿宋_GB2312"/>
          <w:sz w:val="32"/>
          <w:szCs w:val="32"/>
        </w:rPr>
      </w:pPr>
      <w:bookmarkStart w:id="153" w:name="_Toc15396623"/>
      <w:r>
        <w:rPr>
          <w:rFonts w:eastAsia="仿宋_GB2312"/>
          <w:sz w:val="32"/>
          <w:szCs w:val="32"/>
        </w:rPr>
        <w:t>五、财政拨款支出决算明细表</w:t>
      </w:r>
      <w:bookmarkEnd w:id="153"/>
      <w:bookmarkStart w:id="154" w:name="_Toc15396624"/>
    </w:p>
    <w:p w14:paraId="025FDD89">
      <w:pPr>
        <w:pStyle w:val="17"/>
        <w:adjustRightInd w:val="0"/>
        <w:snapToGrid w:val="0"/>
        <w:spacing w:line="560" w:lineRule="exact"/>
        <w:jc w:val="left"/>
        <w:rPr>
          <w:rFonts w:eastAsia="仿宋_GB2312"/>
          <w:sz w:val="32"/>
          <w:szCs w:val="32"/>
        </w:rPr>
      </w:pPr>
      <w:r>
        <w:rPr>
          <w:rFonts w:eastAsia="仿宋_GB2312"/>
          <w:sz w:val="32"/>
          <w:szCs w:val="32"/>
        </w:rPr>
        <w:t>六、一般公共预算财政拨款支出决算表</w:t>
      </w:r>
      <w:bookmarkEnd w:id="154"/>
    </w:p>
    <w:p w14:paraId="1BB5A8FB">
      <w:pPr>
        <w:pStyle w:val="17"/>
        <w:adjustRightInd w:val="0"/>
        <w:snapToGrid w:val="0"/>
        <w:spacing w:line="560" w:lineRule="exact"/>
        <w:jc w:val="left"/>
        <w:rPr>
          <w:rFonts w:eastAsia="仿宋_GB2312"/>
          <w:sz w:val="32"/>
          <w:szCs w:val="32"/>
        </w:rPr>
      </w:pPr>
      <w:bookmarkStart w:id="155" w:name="_Toc15396625"/>
      <w:r>
        <w:rPr>
          <w:rFonts w:eastAsia="仿宋_GB2312"/>
          <w:sz w:val="32"/>
          <w:szCs w:val="32"/>
        </w:rPr>
        <w:t>七、一般公共预算财政拨款支出决算明细表</w:t>
      </w:r>
      <w:bookmarkEnd w:id="155"/>
    </w:p>
    <w:p w14:paraId="2919ED93">
      <w:pPr>
        <w:pStyle w:val="17"/>
        <w:adjustRightInd w:val="0"/>
        <w:snapToGrid w:val="0"/>
        <w:spacing w:line="560" w:lineRule="exact"/>
        <w:jc w:val="left"/>
        <w:rPr>
          <w:rFonts w:eastAsia="仿宋_GB2312"/>
          <w:sz w:val="32"/>
          <w:szCs w:val="32"/>
        </w:rPr>
      </w:pPr>
      <w:bookmarkStart w:id="156" w:name="_Toc15396626"/>
      <w:r>
        <w:rPr>
          <w:rFonts w:eastAsia="仿宋_GB2312"/>
          <w:sz w:val="32"/>
          <w:szCs w:val="32"/>
        </w:rPr>
        <w:t>八、一般公共预算财政拨款基本支出决算表</w:t>
      </w:r>
      <w:bookmarkEnd w:id="156"/>
    </w:p>
    <w:p w14:paraId="5CD6D202">
      <w:pPr>
        <w:pStyle w:val="17"/>
        <w:adjustRightInd w:val="0"/>
        <w:snapToGrid w:val="0"/>
        <w:spacing w:line="560" w:lineRule="exact"/>
        <w:jc w:val="left"/>
        <w:rPr>
          <w:rFonts w:eastAsia="仿宋_GB2312"/>
          <w:sz w:val="32"/>
          <w:szCs w:val="32"/>
        </w:rPr>
      </w:pPr>
      <w:bookmarkStart w:id="157" w:name="_Toc15396627"/>
      <w:r>
        <w:rPr>
          <w:rFonts w:eastAsia="仿宋_GB2312"/>
          <w:sz w:val="32"/>
          <w:szCs w:val="32"/>
        </w:rPr>
        <w:t>九、一般公共预算财政拨款项目支出决算表</w:t>
      </w:r>
      <w:bookmarkEnd w:id="157"/>
    </w:p>
    <w:p w14:paraId="0102A85A">
      <w:pPr>
        <w:pStyle w:val="17"/>
        <w:adjustRightInd w:val="0"/>
        <w:snapToGrid w:val="0"/>
        <w:spacing w:line="560" w:lineRule="exact"/>
        <w:jc w:val="left"/>
        <w:rPr>
          <w:rFonts w:eastAsia="仿宋_GB2312"/>
          <w:sz w:val="32"/>
          <w:szCs w:val="32"/>
        </w:rPr>
      </w:pPr>
      <w:bookmarkStart w:id="158" w:name="_Toc15396628"/>
      <w:r>
        <w:rPr>
          <w:rFonts w:eastAsia="仿宋_GB2312"/>
          <w:sz w:val="32"/>
          <w:szCs w:val="32"/>
        </w:rPr>
        <w:t>十、</w:t>
      </w:r>
      <w:bookmarkEnd w:id="158"/>
      <w:r>
        <w:rPr>
          <w:rFonts w:eastAsia="仿宋_GB2312"/>
          <w:sz w:val="32"/>
          <w:szCs w:val="32"/>
        </w:rPr>
        <w:t>政府性基金预算财政拨款收入支出决算表</w:t>
      </w:r>
    </w:p>
    <w:p w14:paraId="405A0CCB">
      <w:pPr>
        <w:pStyle w:val="17"/>
        <w:adjustRightInd w:val="0"/>
        <w:snapToGrid w:val="0"/>
        <w:spacing w:line="560" w:lineRule="exact"/>
        <w:jc w:val="left"/>
        <w:rPr>
          <w:rFonts w:eastAsia="仿宋_GB2312"/>
          <w:sz w:val="32"/>
          <w:szCs w:val="32"/>
        </w:rPr>
      </w:pPr>
      <w:bookmarkStart w:id="159" w:name="_Toc15396629"/>
      <w:r>
        <w:rPr>
          <w:rFonts w:eastAsia="仿宋_GB2312"/>
          <w:sz w:val="32"/>
          <w:szCs w:val="32"/>
        </w:rPr>
        <w:t>十一、</w:t>
      </w:r>
      <w:bookmarkEnd w:id="159"/>
      <w:r>
        <w:rPr>
          <w:rFonts w:eastAsia="仿宋_GB2312"/>
          <w:sz w:val="32"/>
          <w:szCs w:val="32"/>
        </w:rPr>
        <w:t>国有资本经营预算财政拨款收入支出决算表</w:t>
      </w:r>
    </w:p>
    <w:p w14:paraId="4C18DD31">
      <w:pPr>
        <w:pStyle w:val="17"/>
        <w:adjustRightInd w:val="0"/>
        <w:snapToGrid w:val="0"/>
        <w:spacing w:line="560" w:lineRule="exact"/>
        <w:jc w:val="left"/>
        <w:rPr>
          <w:rFonts w:eastAsia="仿宋_GB2312"/>
          <w:sz w:val="32"/>
          <w:szCs w:val="32"/>
        </w:rPr>
      </w:pPr>
      <w:bookmarkStart w:id="160" w:name="_Toc15396630"/>
      <w:r>
        <w:rPr>
          <w:rFonts w:eastAsia="仿宋_GB2312"/>
          <w:sz w:val="32"/>
          <w:szCs w:val="32"/>
        </w:rPr>
        <w:t>十二、</w:t>
      </w:r>
      <w:bookmarkEnd w:id="160"/>
      <w:r>
        <w:rPr>
          <w:rFonts w:eastAsia="仿宋_GB2312"/>
          <w:sz w:val="32"/>
          <w:szCs w:val="32"/>
        </w:rPr>
        <w:t>国有资本经营预算财政拨款支出决算表</w:t>
      </w:r>
    </w:p>
    <w:p w14:paraId="6722FEC8">
      <w:pPr>
        <w:pStyle w:val="17"/>
        <w:adjustRightInd w:val="0"/>
        <w:snapToGrid w:val="0"/>
        <w:spacing w:line="560" w:lineRule="exact"/>
        <w:jc w:val="left"/>
        <w:rPr>
          <w:rFonts w:eastAsia="仿宋_GB2312"/>
          <w:sz w:val="32"/>
          <w:szCs w:val="32"/>
        </w:rPr>
      </w:pPr>
      <w:bookmarkStart w:id="161" w:name="_Toc15396631"/>
      <w:r>
        <w:rPr>
          <w:rFonts w:eastAsia="仿宋_GB2312"/>
          <w:sz w:val="32"/>
          <w:szCs w:val="32"/>
        </w:rPr>
        <w:t>十三、</w:t>
      </w:r>
      <w:bookmarkEnd w:id="161"/>
      <w:r>
        <w:rPr>
          <w:rFonts w:eastAsia="仿宋_GB2312"/>
          <w:sz w:val="32"/>
          <w:szCs w:val="32"/>
        </w:rPr>
        <w:t>财政拨款“三公”经费支出决算表</w:t>
      </w:r>
    </w:p>
    <w:p w14:paraId="7A98BC3C">
      <w:pPr>
        <w:ind w:firstLine="321" w:firstLineChars="100"/>
        <w:rPr>
          <w:rFonts w:eastAsia="仿宋_GB2312"/>
          <w:b/>
          <w:bCs/>
          <w:sz w:val="32"/>
          <w:szCs w:val="32"/>
        </w:rPr>
      </w:pPr>
      <w:r>
        <w:rPr>
          <w:rFonts w:eastAsia="仿宋_GB2312"/>
          <w:b/>
          <w:bCs/>
          <w:sz w:val="32"/>
          <w:szCs w:val="32"/>
        </w:rPr>
        <w:t>（详情请见遂宁市经济和信息化局2024决算表）</w:t>
      </w:r>
    </w:p>
    <w:sectPr>
      <w:pgSz w:w="11906" w:h="16838"/>
      <w:pgMar w:top="1814" w:right="1418" w:bottom="1418" w:left="141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汉仪仿宋S">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FC3">
    <w:pPr>
      <w:pStyle w:val="12"/>
      <w:jc w:val="center"/>
    </w:pPr>
  </w:p>
  <w:p w14:paraId="2ECF1BA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683887"/>
      <w:docPartObj>
        <w:docPartGallery w:val="autotext"/>
      </w:docPartObj>
    </w:sdtPr>
    <w:sdtEndPr>
      <w:rPr>
        <w:rFonts w:ascii="Times New Roman" w:hAnsi="Times New Roman"/>
        <w:sz w:val="28"/>
        <w:szCs w:val="28"/>
      </w:rPr>
    </w:sdtEndPr>
    <w:sdtContent>
      <w:p w14:paraId="35000B90">
        <w:pPr>
          <w:pStyle w:val="12"/>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41 -</w:t>
        </w:r>
        <w:r>
          <w:rPr>
            <w:rFonts w:ascii="Times New Roman" w:hAnsi="Times New Roman"/>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683885"/>
      <w:docPartObj>
        <w:docPartGallery w:val="autotext"/>
      </w:docPartObj>
    </w:sdtPr>
    <w:sdtEndPr>
      <w:rPr>
        <w:rFonts w:ascii="Times New Roman" w:hAnsi="Times New Roman"/>
        <w:sz w:val="28"/>
        <w:szCs w:val="28"/>
      </w:rPr>
    </w:sdtEndPr>
    <w:sdtContent>
      <w:p w14:paraId="5C480A59">
        <w:pPr>
          <w:pStyle w:val="12"/>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1 -</w:t>
        </w:r>
        <w:r>
          <w:rPr>
            <w:rFonts w:ascii="Times New Roman" w:hAnsi="Times New Roman"/>
            <w:sz w:val="28"/>
            <w:szCs w:val="28"/>
          </w:rPr>
          <w:fldChar w:fldCharType="end"/>
        </w:r>
      </w:p>
    </w:sdtContent>
  </w:sdt>
  <w:p w14:paraId="60CA83B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42814">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20AE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55739"/>
    <w:multiLevelType w:val="singleLevel"/>
    <w:tmpl w:val="D9555739"/>
    <w:lvl w:ilvl="0" w:tentative="0">
      <w:start w:val="1"/>
      <w:numFmt w:val="chineseCounting"/>
      <w:suff w:val="nothing"/>
      <w:lvlText w:val="%1、"/>
      <w:lvlJc w:val="left"/>
      <w:rPr>
        <w:rFonts w:hint="eastAsia"/>
      </w:rPr>
    </w:lvl>
  </w:abstractNum>
  <w:abstractNum w:abstractNumId="1">
    <w:nsid w:val="DA762FE7"/>
    <w:multiLevelType w:val="singleLevel"/>
    <w:tmpl w:val="DA762FE7"/>
    <w:lvl w:ilvl="0" w:tentative="0">
      <w:start w:val="2"/>
      <w:numFmt w:val="chineseCounting"/>
      <w:suff w:val="nothing"/>
      <w:lvlText w:val="（%1）"/>
      <w:lvlJc w:val="left"/>
      <w:rPr>
        <w:rFonts w:hint="eastAsia"/>
      </w:rPr>
    </w:lvl>
  </w:abstractNum>
  <w:abstractNum w:abstractNumId="2">
    <w:nsid w:val="DE4F0D8B"/>
    <w:multiLevelType w:val="singleLevel"/>
    <w:tmpl w:val="DE4F0D8B"/>
    <w:lvl w:ilvl="0" w:tentative="0">
      <w:start w:val="1"/>
      <w:numFmt w:val="decimal"/>
      <w:suff w:val="nothing"/>
      <w:lvlText w:val="（%1）"/>
      <w:lvlJc w:val="left"/>
    </w:lvl>
  </w:abstractNum>
  <w:abstractNum w:abstractNumId="3">
    <w:nsid w:val="FBA841DA"/>
    <w:multiLevelType w:val="singleLevel"/>
    <w:tmpl w:val="FBA841DA"/>
    <w:lvl w:ilvl="0" w:tentative="0">
      <w:start w:val="2"/>
      <w:numFmt w:val="decimal"/>
      <w:lvlText w:val="%1."/>
      <w:lvlJc w:val="left"/>
      <w:pPr>
        <w:tabs>
          <w:tab w:val="left" w:pos="312"/>
        </w:tabs>
      </w:pPr>
    </w:lvl>
  </w:abstractNum>
  <w:abstractNum w:abstractNumId="4">
    <w:nsid w:val="31F186E9"/>
    <w:multiLevelType w:val="singleLevel"/>
    <w:tmpl w:val="31F186E9"/>
    <w:lvl w:ilvl="0" w:tentative="0">
      <w:start w:val="1"/>
      <w:numFmt w:val="decimal"/>
      <w:lvlText w:val="%1."/>
      <w:lvlJc w:val="left"/>
      <w:pPr>
        <w:tabs>
          <w:tab w:val="left" w:pos="312"/>
        </w:tabs>
      </w:pPr>
    </w:lvl>
  </w:abstractNum>
  <w:abstractNum w:abstractNumId="5">
    <w:nsid w:val="39F5CB4C"/>
    <w:multiLevelType w:val="singleLevel"/>
    <w:tmpl w:val="39F5CB4C"/>
    <w:lvl w:ilvl="0" w:tentative="0">
      <w:start w:val="4"/>
      <w:numFmt w:val="decimal"/>
      <w:suff w:val="nothing"/>
      <w:lvlText w:val="（%1）"/>
      <w:lvlJc w:val="left"/>
    </w:lvl>
  </w:abstractNum>
  <w:abstractNum w:abstractNumId="6">
    <w:nsid w:val="4B7D259E"/>
    <w:multiLevelType w:val="singleLevel"/>
    <w:tmpl w:val="4B7D259E"/>
    <w:lvl w:ilvl="0" w:tentative="0">
      <w:start w:val="1"/>
      <w:numFmt w:val="decimal"/>
      <w:lvlText w:val="%1."/>
      <w:lvlJc w:val="left"/>
      <w:pPr>
        <w:tabs>
          <w:tab w:val="left" w:pos="312"/>
        </w:tabs>
        <w:ind w:left="-220"/>
      </w:pPr>
      <w:rPr>
        <w:rFonts w:hint="default"/>
        <w:sz w:val="32"/>
        <w:szCs w:val="32"/>
      </w:r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jA2Y2JhNzU5ODgxOGRiNDFhNGYyMDhmMjJhNzU5ZD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466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D7D74"/>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2325"/>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4CD"/>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670AB"/>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1E14483"/>
    <w:rsid w:val="12E24EE2"/>
    <w:rsid w:val="13D50BC4"/>
    <w:rsid w:val="148C508B"/>
    <w:rsid w:val="14B17F78"/>
    <w:rsid w:val="165E0673"/>
    <w:rsid w:val="16B831D5"/>
    <w:rsid w:val="16BB723D"/>
    <w:rsid w:val="17E50567"/>
    <w:rsid w:val="186504BB"/>
    <w:rsid w:val="19A445FC"/>
    <w:rsid w:val="1AD427B5"/>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DFE175"/>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D20A82"/>
    <w:rsid w:val="44E268DA"/>
    <w:rsid w:val="450D13D7"/>
    <w:rsid w:val="45506656"/>
    <w:rsid w:val="486A6C7A"/>
    <w:rsid w:val="4A627F82"/>
    <w:rsid w:val="4AF60D62"/>
    <w:rsid w:val="4B0E749A"/>
    <w:rsid w:val="4B2477C4"/>
    <w:rsid w:val="4B4F25DA"/>
    <w:rsid w:val="4BE068DB"/>
    <w:rsid w:val="4D577224"/>
    <w:rsid w:val="4DBF1CEB"/>
    <w:rsid w:val="4DF0007C"/>
    <w:rsid w:val="4EAB630A"/>
    <w:rsid w:val="4ECE2238"/>
    <w:rsid w:val="4F833267"/>
    <w:rsid w:val="4FE9BD67"/>
    <w:rsid w:val="4FFB052F"/>
    <w:rsid w:val="536734E5"/>
    <w:rsid w:val="537E6D0A"/>
    <w:rsid w:val="53F74C96"/>
    <w:rsid w:val="55170BA8"/>
    <w:rsid w:val="553218C9"/>
    <w:rsid w:val="567E1AA5"/>
    <w:rsid w:val="56E47B74"/>
    <w:rsid w:val="57175D52"/>
    <w:rsid w:val="57BD3DD4"/>
    <w:rsid w:val="57FBA413"/>
    <w:rsid w:val="5AF92295"/>
    <w:rsid w:val="5B250254"/>
    <w:rsid w:val="5BDD79E6"/>
    <w:rsid w:val="5BF561CA"/>
    <w:rsid w:val="5BFE3DB0"/>
    <w:rsid w:val="5BFF5DFC"/>
    <w:rsid w:val="5CD71FC4"/>
    <w:rsid w:val="5D1F11B5"/>
    <w:rsid w:val="5D695134"/>
    <w:rsid w:val="5DAE1B18"/>
    <w:rsid w:val="5DE7D9E5"/>
    <w:rsid w:val="5ECEC941"/>
    <w:rsid w:val="5FBF9FF3"/>
    <w:rsid w:val="5FCD4E2C"/>
    <w:rsid w:val="5FEF394A"/>
    <w:rsid w:val="5FF67715"/>
    <w:rsid w:val="62BF3928"/>
    <w:rsid w:val="63B3701E"/>
    <w:rsid w:val="647F5392"/>
    <w:rsid w:val="649721D3"/>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C7D7F"/>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BF7C9E"/>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DFC013"/>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7FFF69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next w:val="1"/>
    <w:qFormat/>
    <w:uiPriority w:val="0"/>
    <w:pPr>
      <w:spacing w:beforeLines="50" w:line="360" w:lineRule="auto"/>
      <w:ind w:firstLine="480" w:firstLineChars="200"/>
    </w:pPr>
    <w:rPr>
      <w:rFonts w:eastAsia="仿宋"/>
      <w:sz w:val="24"/>
      <w:szCs w:val="23"/>
      <w:lang w:eastAsia="ar-SA"/>
    </w:rPr>
  </w:style>
  <w:style w:type="paragraph" w:styleId="7">
    <w:name w:val="index 6"/>
    <w:basedOn w:val="1"/>
    <w:next w:val="1"/>
    <w:qFormat/>
    <w:uiPriority w:val="0"/>
    <w:pPr>
      <w:ind w:left="2100"/>
    </w:pPr>
    <w:rPr>
      <w:rFonts w:eastAsia="黑体"/>
    </w:r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qFormat/>
    <w:uiPriority w:val="0"/>
    <w:pPr>
      <w:spacing w:after="120"/>
      <w:ind w:left="200"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16"/>
    <w:semiHidden/>
    <w:qFormat/>
    <w:uiPriority w:val="0"/>
    <w:pPr>
      <w:snapToGrid w:val="0"/>
      <w:jc w:val="left"/>
    </w:pPr>
    <w:rPr>
      <w:sz w:val="18"/>
      <w:szCs w:val="18"/>
    </w:rPr>
  </w:style>
  <w:style w:type="paragraph" w:styleId="16">
    <w:name w:val="Body Text First Indent 2"/>
    <w:basedOn w:val="9"/>
    <w:unhideWhenUsed/>
    <w:qFormat/>
    <w:uiPriority w:val="99"/>
    <w:pPr>
      <w:ind w:firstLine="420" w:firstLineChars="200"/>
    </w:p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99"/>
    <w:pPr>
      <w:spacing w:before="100" w:beforeAutospacing="1" w:after="100" w:afterAutospacing="1"/>
      <w:jc w:val="left"/>
    </w:pPr>
    <w:rPr>
      <w:kern w:val="0"/>
      <w:sz w:val="24"/>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rPr>
  </w:style>
  <w:style w:type="paragraph" w:customStyle="1" w:styleId="23">
    <w:name w:val="正文-公1"/>
    <w:basedOn w:val="24"/>
    <w:next w:val="1"/>
    <w:qFormat/>
    <w:uiPriority w:val="0"/>
    <w:pPr>
      <w:ind w:firstLine="200" w:firstLineChars="200"/>
    </w:p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3"/>
    <w:qFormat/>
    <w:uiPriority w:val="9"/>
    <w:rPr>
      <w:rFonts w:ascii="Times New Roman" w:hAnsi="Times New Roman"/>
      <w:b/>
      <w:bCs/>
      <w:kern w:val="44"/>
      <w:sz w:val="44"/>
      <w:szCs w:val="44"/>
    </w:rPr>
  </w:style>
  <w:style w:type="character" w:customStyle="1" w:styleId="34">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character" w:customStyle="1" w:styleId="37">
    <w:name w:val="标题 3 Char"/>
    <w:basedOn w:val="20"/>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 w:type="paragraph" w:customStyle="1" w:styleId="4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2">
    <w:name w:val="表文字"/>
    <w:basedOn w:val="43"/>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43">
    <w:name w:val="报告正文"/>
    <w:basedOn w:val="1"/>
    <w:qFormat/>
    <w:uiPriority w:val="0"/>
    <w:pPr>
      <w:spacing w:line="600" w:lineRule="exact"/>
      <w:ind w:firstLine="200" w:firstLineChars="200"/>
    </w:pPr>
    <w:rPr>
      <w:rFonts w:eastAsia="仿宋"/>
      <w:kern w:val="0"/>
      <w:szCs w:val="28"/>
      <w:lang w:val="zh-CN"/>
    </w:rPr>
  </w:style>
  <w:style w:type="paragraph" w:customStyle="1" w:styleId="44">
    <w:name w:val="常用样式（方正仿宋简）"/>
    <w:basedOn w:val="1"/>
    <w:next w:val="7"/>
    <w:qFormat/>
    <w:uiPriority w:val="0"/>
    <w:pPr>
      <w:spacing w:line="560" w:lineRule="exact"/>
      <w:ind w:firstLine="640" w:firstLineChars="200"/>
    </w:pPr>
    <w:rPr>
      <w:rFonts w:eastAsia="方正仿宋简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6.bin"/><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0"/>
    <customShpInfo spid="_x0000_s1031"/>
    <customShpInfo spid="_x0000_s1033"/>
    <customShpInfo spid="_x0000_s1034"/>
    <customShpInfo spid="_x0000_s1037"/>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44</Pages>
  <Words>14167</Words>
  <Characters>15789</Characters>
  <Lines>163</Lines>
  <Paragraphs>45</Paragraphs>
  <TotalTime>26</TotalTime>
  <ScaleCrop>false</ScaleCrop>
  <LinksUpToDate>false</LinksUpToDate>
  <CharactersWithSpaces>15950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王波</cp:lastModifiedBy>
  <cp:lastPrinted>2025-08-07T17:34:00Z</cp:lastPrinted>
  <dcterms:modified xsi:type="dcterms:W3CDTF">2025-08-22T01:40:40Z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6E69A6354000427084F536B0F7A6EBEA_13</vt:lpwstr>
  </property>
  <property fmtid="{D5CDD505-2E9C-101B-9397-08002B2CF9AE}" pid="4" name="KSOTemplateDocerSaveRecord">
    <vt:lpwstr>eyJoZGlkIjoiMDljYzUzMWQ4OWI0YzBkYjYzMDRhZTY5ZjZkYmFmYTgifQ==</vt:lpwstr>
  </property>
</Properties>
</file>